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8E382" w14:textId="0A3CC363" w:rsidR="009955BC" w:rsidRDefault="00007084">
      <w:r>
        <w:rPr>
          <w:noProof/>
        </w:rPr>
        <w:drawing>
          <wp:anchor distT="0" distB="0" distL="114300" distR="114300" simplePos="0" relativeHeight="251661312" behindDoc="0" locked="0" layoutInCell="1" allowOverlap="1" wp14:anchorId="6000B577" wp14:editId="6E307823">
            <wp:simplePos x="0" y="0"/>
            <wp:positionH relativeFrom="margin">
              <wp:align>right</wp:align>
            </wp:positionH>
            <wp:positionV relativeFrom="paragraph">
              <wp:posOffset>213995</wp:posOffset>
            </wp:positionV>
            <wp:extent cx="5612130" cy="38671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CD banner_new_logo (003).jpg"/>
                    <pic:cNvPicPr/>
                  </pic:nvPicPr>
                  <pic:blipFill>
                    <a:blip r:embed="rId6"/>
                    <a:stretch>
                      <a:fillRect/>
                    </a:stretch>
                  </pic:blipFill>
                  <pic:spPr>
                    <a:xfrm>
                      <a:off x="0" y="0"/>
                      <a:ext cx="5612130" cy="386715"/>
                    </a:xfrm>
                    <a:prstGeom prst="rect">
                      <a:avLst/>
                    </a:prstGeom>
                  </pic:spPr>
                </pic:pic>
              </a:graphicData>
            </a:graphic>
          </wp:anchor>
        </w:drawing>
      </w:r>
    </w:p>
    <w:p w14:paraId="7A1CDE92" w14:textId="2EC9AE9F" w:rsidR="00105A97" w:rsidRDefault="00105A97"/>
    <w:p w14:paraId="40937A0E" w14:textId="06713416" w:rsidR="00105A97" w:rsidRDefault="00105A97"/>
    <w:p w14:paraId="74BE3E07" w14:textId="77777777" w:rsidR="00BF4F6F" w:rsidRDefault="00BF4F6F" w:rsidP="00BF4F6F">
      <w:pPr>
        <w:rPr>
          <w:rFonts w:ascii="Arial Narrow" w:hAnsi="Arial Narrow"/>
          <w:sz w:val="20"/>
          <w:szCs w:val="20"/>
        </w:rPr>
      </w:pPr>
      <w:r w:rsidRPr="005B102D">
        <w:rPr>
          <w:rFonts w:ascii="Arial Narrow" w:hAnsi="Arial Narrow"/>
          <w:sz w:val="20"/>
          <w:szCs w:val="20"/>
        </w:rPr>
        <w:t xml:space="preserve">DOC NO: FOOD 37/16 </w:t>
      </w:r>
      <w:r>
        <w:rPr>
          <w:rFonts w:ascii="Arial Narrow" w:hAnsi="Arial Narrow"/>
          <w:sz w:val="20"/>
          <w:szCs w:val="20"/>
        </w:rPr>
        <w:t>FECHA</w:t>
      </w:r>
      <w:r w:rsidRPr="005B102D">
        <w:rPr>
          <w:rFonts w:ascii="Arial Narrow" w:hAnsi="Arial Narrow"/>
          <w:sz w:val="20"/>
          <w:szCs w:val="20"/>
        </w:rPr>
        <w:t xml:space="preserve">: 21 </w:t>
      </w:r>
      <w:r>
        <w:rPr>
          <w:rFonts w:ascii="Arial Narrow" w:hAnsi="Arial Narrow"/>
          <w:sz w:val="20"/>
          <w:szCs w:val="20"/>
        </w:rPr>
        <w:t xml:space="preserve">de enero de </w:t>
      </w:r>
      <w:r w:rsidRPr="005B102D">
        <w:rPr>
          <w:rFonts w:ascii="Arial Narrow" w:hAnsi="Arial Narrow"/>
          <w:sz w:val="20"/>
          <w:szCs w:val="20"/>
        </w:rPr>
        <w:t>2016</w:t>
      </w:r>
    </w:p>
    <w:p w14:paraId="415E95AB" w14:textId="77777777" w:rsidR="00BF4F6F" w:rsidRDefault="00BF4F6F" w:rsidP="00BF4F6F">
      <w:pPr>
        <w:rPr>
          <w:rFonts w:ascii="Arial Narrow" w:hAnsi="Arial Narrow"/>
          <w:b/>
          <w:sz w:val="20"/>
          <w:szCs w:val="20"/>
        </w:rPr>
      </w:pPr>
    </w:p>
    <w:p w14:paraId="64A0962A" w14:textId="6283C4DD" w:rsidR="00BF4F6F" w:rsidRDefault="00BF4F6F" w:rsidP="00BF4F6F">
      <w:pPr>
        <w:jc w:val="center"/>
        <w:rPr>
          <w:rFonts w:ascii="Arial Narrow" w:hAnsi="Arial Narrow"/>
          <w:b/>
          <w:sz w:val="28"/>
          <w:szCs w:val="28"/>
        </w:rPr>
      </w:pPr>
      <w:r w:rsidRPr="00BF4F6F">
        <w:rPr>
          <w:rFonts w:ascii="Arial Narrow" w:hAnsi="Arial Narrow"/>
          <w:b/>
          <w:sz w:val="28"/>
          <w:szCs w:val="28"/>
        </w:rPr>
        <w:t>Resolución sobre el capítulo propuesto sobre medidas sanitarias y fitosanitarias en el Acuerdo de Asociación Transatlántica de Comercio e Inversiones (TTIP)</w:t>
      </w:r>
    </w:p>
    <w:p w14:paraId="74243CD5" w14:textId="388C6468" w:rsidR="00FA6BEB" w:rsidRDefault="00FA6BEB" w:rsidP="00BF4F6F">
      <w:pPr>
        <w:jc w:val="center"/>
        <w:rPr>
          <w:rFonts w:ascii="Arial Narrow" w:hAnsi="Arial Narrow"/>
          <w:b/>
          <w:sz w:val="28"/>
          <w:szCs w:val="28"/>
        </w:rPr>
      </w:pPr>
    </w:p>
    <w:p w14:paraId="62C80633" w14:textId="77777777" w:rsidR="00FA6BEB" w:rsidRPr="00B77F6D" w:rsidRDefault="00FA6BEB" w:rsidP="00FA6BEB">
      <w:pPr>
        <w:jc w:val="center"/>
        <w:rPr>
          <w:rFonts w:ascii="Arial Narrow" w:hAnsi="Arial Narrow"/>
          <w:b/>
          <w:sz w:val="20"/>
          <w:szCs w:val="20"/>
        </w:rPr>
      </w:pPr>
      <w:r w:rsidRPr="00B77F6D">
        <w:rPr>
          <w:rFonts w:ascii="Arial Narrow" w:hAnsi="Arial Narrow"/>
          <w:b/>
          <w:sz w:val="20"/>
          <w:szCs w:val="20"/>
        </w:rPr>
        <w:t>Resolución sobre el capítulo propuesto sobre medidas sanitarias y fitosanitarias en el Acuerdo de Asociación de Inversión y Comercio Transatlántico (TTIP) (</w:t>
      </w:r>
      <w:bookmarkStart w:id="0" w:name="_GoBack"/>
      <w:r w:rsidRPr="00B77F6D">
        <w:rPr>
          <w:rFonts w:ascii="Arial Narrow" w:hAnsi="Arial Narrow"/>
          <w:b/>
          <w:sz w:val="20"/>
          <w:szCs w:val="20"/>
        </w:rPr>
        <w:t>Actualización</w:t>
      </w:r>
      <w:bookmarkEnd w:id="0"/>
      <w:r w:rsidRPr="00B77F6D">
        <w:rPr>
          <w:rFonts w:ascii="Arial Narrow" w:hAnsi="Arial Narrow"/>
          <w:b/>
          <w:sz w:val="20"/>
          <w:szCs w:val="20"/>
        </w:rPr>
        <w:t>)</w:t>
      </w:r>
    </w:p>
    <w:p w14:paraId="7CF4BE86" w14:textId="77777777" w:rsidR="00FA6BEB" w:rsidRPr="00BF4F6F" w:rsidRDefault="00FA6BEB" w:rsidP="00BF4F6F">
      <w:pPr>
        <w:jc w:val="center"/>
        <w:rPr>
          <w:rFonts w:ascii="Arial Narrow" w:hAnsi="Arial Narrow"/>
          <w:b/>
          <w:sz w:val="28"/>
          <w:szCs w:val="28"/>
        </w:rPr>
      </w:pPr>
    </w:p>
    <w:p w14:paraId="7FADA950" w14:textId="77777777" w:rsidR="00BF4F6F" w:rsidRPr="00446C31" w:rsidRDefault="00BF4F6F" w:rsidP="00BF4F6F">
      <w:pPr>
        <w:rPr>
          <w:rFonts w:ascii="Arial Narrow" w:hAnsi="Arial Narrow"/>
          <w:sz w:val="20"/>
          <w:szCs w:val="20"/>
        </w:rPr>
      </w:pPr>
    </w:p>
    <w:p w14:paraId="44455D05" w14:textId="77777777" w:rsidR="00BF4F6F" w:rsidRPr="0006438A" w:rsidRDefault="00BF4F6F" w:rsidP="00BF4F6F">
      <w:pPr>
        <w:rPr>
          <w:rFonts w:ascii="Arial Narrow" w:hAnsi="Arial Narrow"/>
          <w:i/>
          <w:sz w:val="20"/>
          <w:szCs w:val="20"/>
        </w:rPr>
      </w:pPr>
      <w:r w:rsidRPr="0006438A">
        <w:rPr>
          <w:rFonts w:ascii="Arial Narrow" w:hAnsi="Arial Narrow"/>
          <w:i/>
          <w:sz w:val="20"/>
          <w:szCs w:val="20"/>
        </w:rPr>
        <w:t>Introducción</w:t>
      </w:r>
    </w:p>
    <w:p w14:paraId="340E6581" w14:textId="77777777" w:rsidR="00BF4F6F" w:rsidRPr="00446C31" w:rsidRDefault="00BF4F6F" w:rsidP="00BF4F6F">
      <w:pPr>
        <w:rPr>
          <w:rFonts w:ascii="Arial Narrow" w:hAnsi="Arial Narrow"/>
          <w:sz w:val="20"/>
          <w:szCs w:val="20"/>
        </w:rPr>
      </w:pPr>
    </w:p>
    <w:p w14:paraId="2758D3CA" w14:textId="22CB7F46" w:rsidR="00BF4F6F" w:rsidRDefault="00BF4F6F" w:rsidP="0004171C">
      <w:pPr>
        <w:jc w:val="both"/>
        <w:rPr>
          <w:rFonts w:ascii="Arial Narrow" w:hAnsi="Arial Narrow"/>
          <w:sz w:val="20"/>
          <w:szCs w:val="20"/>
        </w:rPr>
      </w:pPr>
      <w:r w:rsidRPr="00446C31">
        <w:rPr>
          <w:rFonts w:ascii="Arial Narrow" w:hAnsi="Arial Narrow"/>
          <w:sz w:val="20"/>
          <w:szCs w:val="20"/>
        </w:rPr>
        <w:t>En octubre de 2013, el Diálogo Transatlántico de Consumidores (TACD) envió a la Comisión Europea (CE) y al Departamento de Estado de los EE. UU. Una "Resolución sobre el enfoque de cuestiones relacionadas con la alimentación y la nutrición en la Asociación Transatlántica de Comercio e Inversión"</w:t>
      </w:r>
      <w:r w:rsidR="00814A23">
        <w:rPr>
          <w:rFonts w:ascii="Arial Narrow" w:hAnsi="Arial Narrow"/>
          <w:sz w:val="20"/>
          <w:szCs w:val="20"/>
        </w:rPr>
        <w:t xml:space="preserve"> </w:t>
      </w:r>
      <w:r w:rsidR="0079341E">
        <w:rPr>
          <w:rFonts w:ascii="Arial Narrow" w:hAnsi="Arial Narrow"/>
          <w:sz w:val="16"/>
          <w:szCs w:val="20"/>
        </w:rPr>
        <w:t>(1)</w:t>
      </w:r>
      <w:r w:rsidRPr="00446C31">
        <w:rPr>
          <w:rFonts w:ascii="Arial Narrow" w:hAnsi="Arial Narrow"/>
          <w:sz w:val="20"/>
          <w:szCs w:val="20"/>
        </w:rPr>
        <w:t xml:space="preserve">. </w:t>
      </w:r>
      <w:r>
        <w:rPr>
          <w:rFonts w:ascii="Arial Narrow" w:hAnsi="Arial Narrow"/>
          <w:sz w:val="20"/>
          <w:szCs w:val="20"/>
        </w:rPr>
        <w:t xml:space="preserve">La Resolución abarca un </w:t>
      </w:r>
      <w:r w:rsidRPr="00446C31">
        <w:rPr>
          <w:rFonts w:ascii="Arial Narrow" w:hAnsi="Arial Narrow"/>
          <w:sz w:val="20"/>
          <w:szCs w:val="20"/>
        </w:rPr>
        <w:t>número de tema</w:t>
      </w:r>
      <w:r>
        <w:rPr>
          <w:rFonts w:ascii="Arial Narrow" w:hAnsi="Arial Narrow"/>
          <w:sz w:val="20"/>
          <w:szCs w:val="20"/>
        </w:rPr>
        <w:t xml:space="preserve">s de alimentación y nutrición </w:t>
      </w:r>
      <w:r w:rsidRPr="00446C31">
        <w:rPr>
          <w:rFonts w:ascii="Arial Narrow" w:hAnsi="Arial Narrow"/>
          <w:sz w:val="20"/>
          <w:szCs w:val="20"/>
        </w:rPr>
        <w:t>presentados en resoluciones pasadas de</w:t>
      </w:r>
      <w:r>
        <w:rPr>
          <w:rFonts w:ascii="Arial Narrow" w:hAnsi="Arial Narrow"/>
          <w:sz w:val="20"/>
          <w:szCs w:val="20"/>
        </w:rPr>
        <w:t>l</w:t>
      </w:r>
      <w:r w:rsidRPr="00446C31">
        <w:rPr>
          <w:rFonts w:ascii="Arial Narrow" w:hAnsi="Arial Narrow"/>
          <w:sz w:val="20"/>
          <w:szCs w:val="20"/>
        </w:rPr>
        <w:t xml:space="preserve"> TACD. La Resolución solo podría referirse a un "enfoque" de las negociaciones del TTIP, ya que en 2013, ni el TACD -ni, de hecho, nadie más que funcionarios gubernamentales y asesores de políticas comerciales de la industria autorizados por la seguridad- tuvieron acceso a proyectos de propuestas de negociación, con el propósito de un análisis basado en texto.</w:t>
      </w:r>
    </w:p>
    <w:p w14:paraId="15C1C2A1" w14:textId="77777777" w:rsidR="00BF4F6F" w:rsidRPr="00446C31" w:rsidRDefault="00BF4F6F" w:rsidP="0004171C">
      <w:pPr>
        <w:jc w:val="both"/>
        <w:rPr>
          <w:rFonts w:ascii="Arial Narrow" w:hAnsi="Arial Narrow"/>
          <w:sz w:val="20"/>
          <w:szCs w:val="20"/>
        </w:rPr>
      </w:pPr>
    </w:p>
    <w:p w14:paraId="45545096" w14:textId="7B71E21C" w:rsidR="00BF4F6F" w:rsidRPr="00446C31" w:rsidRDefault="00BF4F6F" w:rsidP="0004171C">
      <w:pPr>
        <w:jc w:val="both"/>
        <w:rPr>
          <w:rFonts w:ascii="Arial Narrow" w:hAnsi="Arial Narrow"/>
          <w:sz w:val="20"/>
          <w:szCs w:val="20"/>
        </w:rPr>
      </w:pPr>
      <w:r w:rsidRPr="00446C31">
        <w:rPr>
          <w:rFonts w:ascii="Arial Narrow" w:hAnsi="Arial Narrow"/>
          <w:sz w:val="20"/>
          <w:szCs w:val="20"/>
        </w:rPr>
        <w:t>Tras la divulgación no autorizada de propuestas de negociación de la CE, incluida una propuesta de julio de 2014 para el capítulo sobre medidas sanitarias y fitosanitarias</w:t>
      </w:r>
      <w:r w:rsidR="0079341E">
        <w:rPr>
          <w:rFonts w:ascii="Arial Narrow" w:hAnsi="Arial Narrow"/>
          <w:sz w:val="20"/>
          <w:szCs w:val="20"/>
        </w:rPr>
        <w:t xml:space="preserve"> </w:t>
      </w:r>
      <w:r w:rsidR="0079341E">
        <w:rPr>
          <w:rFonts w:ascii="Arial Narrow" w:hAnsi="Arial Narrow"/>
          <w:sz w:val="16"/>
          <w:szCs w:val="20"/>
        </w:rPr>
        <w:t>(2)</w:t>
      </w:r>
      <w:r w:rsidRPr="00446C31">
        <w:rPr>
          <w:rFonts w:ascii="Arial Narrow" w:hAnsi="Arial Narrow"/>
          <w:sz w:val="20"/>
          <w:szCs w:val="20"/>
        </w:rPr>
        <w:t>, en enero de 2015, la Comisión decidió hacer públicas muchas de sus propuestas de negociación del TTIP, incluida la del capítulo MSF, tras la discusión de las propuestas con los negociadores de la Oficina del Representante Comercial de los Estados Unidos (USTR). TACD agradece a la Comisión por la publicación de estos textos de negociación, que han permitido a TACD hacer recomendaciones en la siguiente Resolución.</w:t>
      </w:r>
    </w:p>
    <w:p w14:paraId="4EA469E0" w14:textId="77777777" w:rsidR="00BF4F6F" w:rsidRPr="00446C31" w:rsidRDefault="00BF4F6F" w:rsidP="0004171C">
      <w:pPr>
        <w:jc w:val="both"/>
        <w:rPr>
          <w:rFonts w:ascii="Arial Narrow" w:hAnsi="Arial Narrow"/>
          <w:sz w:val="20"/>
          <w:szCs w:val="20"/>
        </w:rPr>
      </w:pPr>
    </w:p>
    <w:p w14:paraId="147E98FC" w14:textId="5BA1A2DB" w:rsidR="00BF4F6F" w:rsidRPr="00446C31" w:rsidRDefault="00BF4F6F" w:rsidP="0004171C">
      <w:pPr>
        <w:jc w:val="both"/>
        <w:rPr>
          <w:rFonts w:ascii="Arial Narrow" w:hAnsi="Arial Narrow"/>
          <w:sz w:val="20"/>
          <w:szCs w:val="20"/>
        </w:rPr>
      </w:pPr>
      <w:r w:rsidRPr="00446C31">
        <w:rPr>
          <w:rFonts w:ascii="Arial Narrow" w:hAnsi="Arial Narrow"/>
          <w:sz w:val="20"/>
          <w:szCs w:val="20"/>
        </w:rPr>
        <w:t>Lamentablemente, y</w:t>
      </w:r>
      <w:r>
        <w:rPr>
          <w:rFonts w:ascii="Arial Narrow" w:hAnsi="Arial Narrow"/>
          <w:sz w:val="20"/>
          <w:szCs w:val="20"/>
        </w:rPr>
        <w:t xml:space="preserve"> </w:t>
      </w:r>
      <w:r w:rsidRPr="00446C31">
        <w:rPr>
          <w:rFonts w:ascii="Arial Narrow" w:hAnsi="Arial Narrow"/>
          <w:sz w:val="20"/>
          <w:szCs w:val="20"/>
        </w:rPr>
        <w:t>a pesar de varias cartas de</w:t>
      </w:r>
      <w:r>
        <w:rPr>
          <w:rFonts w:ascii="Arial Narrow" w:hAnsi="Arial Narrow"/>
          <w:sz w:val="20"/>
          <w:szCs w:val="20"/>
        </w:rPr>
        <w:t>l</w:t>
      </w:r>
      <w:r w:rsidRPr="00446C31">
        <w:rPr>
          <w:rFonts w:ascii="Arial Narrow" w:hAnsi="Arial Narrow"/>
          <w:sz w:val="20"/>
          <w:szCs w:val="20"/>
        </w:rPr>
        <w:t xml:space="preserve"> TACD al USTR y en junio de 2015, al presidente Barack Obama</w:t>
      </w:r>
      <w:r>
        <w:rPr>
          <w:rFonts w:ascii="Arial Narrow" w:hAnsi="Arial Narrow"/>
          <w:sz w:val="20"/>
          <w:szCs w:val="20"/>
        </w:rPr>
        <w:t xml:space="preserve"> </w:t>
      </w:r>
      <w:r w:rsidR="0079341E">
        <w:rPr>
          <w:rFonts w:ascii="Arial Narrow" w:hAnsi="Arial Narrow"/>
          <w:sz w:val="16"/>
          <w:szCs w:val="20"/>
        </w:rPr>
        <w:t>(3)</w:t>
      </w:r>
      <w:r w:rsidRPr="00446C31">
        <w:rPr>
          <w:rFonts w:ascii="Arial Narrow" w:hAnsi="Arial Narrow"/>
          <w:sz w:val="20"/>
          <w:szCs w:val="20"/>
        </w:rPr>
        <w:t>, solicitando que los Estados Unidos publiquen sus proyectos de texto de negociación del TTIP, l</w:t>
      </w:r>
      <w:r>
        <w:rPr>
          <w:rFonts w:ascii="Arial Narrow" w:hAnsi="Arial Narrow"/>
          <w:sz w:val="20"/>
          <w:szCs w:val="20"/>
        </w:rPr>
        <w:t xml:space="preserve">as </w:t>
      </w:r>
      <w:r w:rsidRPr="00446C31">
        <w:rPr>
          <w:rFonts w:ascii="Arial Narrow" w:hAnsi="Arial Narrow"/>
          <w:sz w:val="20"/>
          <w:szCs w:val="20"/>
        </w:rPr>
        <w:t>p</w:t>
      </w:r>
      <w:r>
        <w:rPr>
          <w:rFonts w:ascii="Arial Narrow" w:hAnsi="Arial Narrow"/>
          <w:sz w:val="20"/>
          <w:szCs w:val="20"/>
        </w:rPr>
        <w:t>osiciones estadounidenses</w:t>
      </w:r>
      <w:r w:rsidRPr="00446C31">
        <w:rPr>
          <w:rFonts w:ascii="Arial Narrow" w:hAnsi="Arial Narrow"/>
          <w:sz w:val="20"/>
          <w:szCs w:val="20"/>
        </w:rPr>
        <w:t xml:space="preserve"> </w:t>
      </w:r>
      <w:r>
        <w:rPr>
          <w:rFonts w:ascii="Arial Narrow" w:hAnsi="Arial Narrow"/>
          <w:sz w:val="20"/>
          <w:szCs w:val="20"/>
        </w:rPr>
        <w:t xml:space="preserve">ante el </w:t>
      </w:r>
      <w:r w:rsidRPr="00446C31">
        <w:rPr>
          <w:rFonts w:ascii="Arial Narrow" w:hAnsi="Arial Narrow"/>
          <w:sz w:val="20"/>
          <w:szCs w:val="20"/>
        </w:rPr>
        <w:t xml:space="preserve">TTIP </w:t>
      </w:r>
      <w:r>
        <w:rPr>
          <w:rFonts w:ascii="Arial Narrow" w:hAnsi="Arial Narrow"/>
          <w:sz w:val="20"/>
          <w:szCs w:val="20"/>
        </w:rPr>
        <w:t>seguían no esta</w:t>
      </w:r>
      <w:r w:rsidRPr="00446C31">
        <w:rPr>
          <w:rFonts w:ascii="Arial Narrow" w:hAnsi="Arial Narrow"/>
          <w:sz w:val="20"/>
          <w:szCs w:val="20"/>
        </w:rPr>
        <w:t>n</w:t>
      </w:r>
      <w:r>
        <w:rPr>
          <w:rFonts w:ascii="Arial Narrow" w:hAnsi="Arial Narrow"/>
          <w:sz w:val="20"/>
          <w:szCs w:val="20"/>
        </w:rPr>
        <w:t>do</w:t>
      </w:r>
      <w:r w:rsidRPr="00446C31">
        <w:rPr>
          <w:rFonts w:ascii="Arial Narrow" w:hAnsi="Arial Narrow"/>
          <w:sz w:val="20"/>
          <w:szCs w:val="20"/>
        </w:rPr>
        <w:t xml:space="preserve"> disponibles para el público cuyos intereses están supuestamente representados en ellos. Sin embargo, el 5 de noviembre, los Estados Unidos, junto con otros posibles miembros del Acuerdo de Asociación Transpacífico propuesto (TPP), publicaron los textos y anexos de negociación del TPP.</w:t>
      </w:r>
    </w:p>
    <w:p w14:paraId="57BFB085" w14:textId="77777777" w:rsidR="00BF4F6F" w:rsidRPr="00446C31" w:rsidRDefault="00BF4F6F" w:rsidP="0004171C">
      <w:pPr>
        <w:jc w:val="both"/>
        <w:rPr>
          <w:rFonts w:ascii="Arial Narrow" w:hAnsi="Arial Narrow"/>
          <w:sz w:val="20"/>
          <w:szCs w:val="20"/>
        </w:rPr>
      </w:pPr>
    </w:p>
    <w:p w14:paraId="6FE3C843" w14:textId="0D869D61" w:rsidR="00BF4F6F" w:rsidRPr="00446C31" w:rsidRDefault="00BF4F6F" w:rsidP="0004171C">
      <w:pPr>
        <w:jc w:val="both"/>
        <w:rPr>
          <w:rFonts w:ascii="Arial Narrow" w:hAnsi="Arial Narrow"/>
          <w:sz w:val="20"/>
          <w:szCs w:val="20"/>
        </w:rPr>
      </w:pPr>
      <w:r>
        <w:rPr>
          <w:rFonts w:ascii="Arial Narrow" w:hAnsi="Arial Narrow"/>
          <w:sz w:val="20"/>
          <w:szCs w:val="20"/>
        </w:rPr>
        <w:t xml:space="preserve">El </w:t>
      </w:r>
      <w:r w:rsidRPr="00446C31">
        <w:rPr>
          <w:rFonts w:ascii="Arial Narrow" w:hAnsi="Arial Narrow"/>
          <w:sz w:val="20"/>
          <w:szCs w:val="20"/>
        </w:rPr>
        <w:t>TACD supone que EE. UU. Impulsará un alto grado de coherencia legal</w:t>
      </w:r>
      <w:r>
        <w:rPr>
          <w:rFonts w:ascii="Arial Narrow" w:hAnsi="Arial Narrow"/>
          <w:sz w:val="20"/>
          <w:szCs w:val="20"/>
        </w:rPr>
        <w:t xml:space="preserve"> y sustantiva entre el capítulo Medidas Sanitarias y fitosanitarias (MSyF de aquí en adelante) del TPP</w:t>
      </w:r>
      <w:r w:rsidRPr="00446C31">
        <w:rPr>
          <w:rFonts w:ascii="Arial Narrow" w:hAnsi="Arial Narrow"/>
          <w:sz w:val="20"/>
          <w:szCs w:val="20"/>
        </w:rPr>
        <w:t xml:space="preserve"> y el capítulo</w:t>
      </w:r>
      <w:r>
        <w:rPr>
          <w:rFonts w:ascii="Arial Narrow" w:hAnsi="Arial Narrow"/>
          <w:sz w:val="20"/>
          <w:szCs w:val="20"/>
        </w:rPr>
        <w:t xml:space="preserve"> MSyF</w:t>
      </w:r>
      <w:r w:rsidRPr="00446C31">
        <w:rPr>
          <w:rFonts w:ascii="Arial Narrow" w:hAnsi="Arial Narrow"/>
          <w:sz w:val="20"/>
          <w:szCs w:val="20"/>
        </w:rPr>
        <w:t xml:space="preserve"> </w:t>
      </w:r>
      <w:r>
        <w:rPr>
          <w:rFonts w:ascii="Arial Narrow" w:hAnsi="Arial Narrow"/>
          <w:sz w:val="20"/>
          <w:szCs w:val="20"/>
        </w:rPr>
        <w:t>del TTIP</w:t>
      </w:r>
      <w:r w:rsidRPr="00446C31">
        <w:rPr>
          <w:rFonts w:ascii="Arial Narrow" w:hAnsi="Arial Narrow"/>
          <w:sz w:val="20"/>
          <w:szCs w:val="20"/>
        </w:rPr>
        <w:t xml:space="preserve">. Sin embargo, la UE podría estar más inclinada a aceptar disposiciones similares a las del Capítulo </w:t>
      </w:r>
      <w:r>
        <w:rPr>
          <w:rFonts w:ascii="Arial Narrow" w:hAnsi="Arial Narrow"/>
          <w:sz w:val="20"/>
          <w:szCs w:val="20"/>
        </w:rPr>
        <w:t>MSyF del CETA (Acuerdo de Comercio Canada Europa)</w:t>
      </w:r>
      <w:r w:rsidRPr="00446C31">
        <w:rPr>
          <w:rFonts w:ascii="Arial Narrow" w:hAnsi="Arial Narrow"/>
          <w:sz w:val="20"/>
          <w:szCs w:val="20"/>
        </w:rPr>
        <w:t xml:space="preserve"> ya publicado y a su propia posición textual. Las recomendaciones de esta Resolución provienen de nuestro análisis de los últimos capítulos </w:t>
      </w:r>
      <w:r>
        <w:rPr>
          <w:rFonts w:ascii="Arial Narrow" w:hAnsi="Arial Narrow"/>
          <w:sz w:val="20"/>
          <w:szCs w:val="20"/>
        </w:rPr>
        <w:t>MSyF</w:t>
      </w:r>
      <w:r w:rsidRPr="00446C31">
        <w:rPr>
          <w:rFonts w:ascii="Arial Narrow" w:hAnsi="Arial Narrow"/>
          <w:sz w:val="20"/>
          <w:szCs w:val="20"/>
        </w:rPr>
        <w:t xml:space="preserve"> </w:t>
      </w:r>
      <w:r>
        <w:rPr>
          <w:rFonts w:ascii="Arial Narrow" w:hAnsi="Arial Narrow"/>
          <w:sz w:val="20"/>
          <w:szCs w:val="20"/>
        </w:rPr>
        <w:t>propuesta</w:t>
      </w:r>
      <w:r w:rsidRPr="00446C31">
        <w:rPr>
          <w:rFonts w:ascii="Arial Narrow" w:hAnsi="Arial Narrow"/>
          <w:sz w:val="20"/>
          <w:szCs w:val="20"/>
        </w:rPr>
        <w:t xml:space="preserve">s por la Comisión Europea a disposición del público </w:t>
      </w:r>
      <w:r w:rsidR="0079341E">
        <w:rPr>
          <w:rFonts w:ascii="Arial Narrow" w:hAnsi="Arial Narrow"/>
          <w:sz w:val="16"/>
          <w:szCs w:val="20"/>
        </w:rPr>
        <w:t xml:space="preserve">(4) </w:t>
      </w:r>
      <w:r w:rsidRPr="00446C31">
        <w:rPr>
          <w:rFonts w:ascii="Arial Narrow" w:hAnsi="Arial Narrow"/>
          <w:sz w:val="20"/>
          <w:szCs w:val="20"/>
        </w:rPr>
        <w:t xml:space="preserve">y del </w:t>
      </w:r>
      <w:r>
        <w:rPr>
          <w:rFonts w:ascii="Arial Narrow" w:hAnsi="Arial Narrow"/>
          <w:sz w:val="20"/>
          <w:szCs w:val="20"/>
        </w:rPr>
        <w:t>similar MSyF del TPP</w:t>
      </w:r>
      <w:r w:rsidRPr="00446C31">
        <w:rPr>
          <w:rFonts w:ascii="Arial Narrow" w:hAnsi="Arial Narrow"/>
          <w:sz w:val="20"/>
          <w:szCs w:val="20"/>
        </w:rPr>
        <w:t xml:space="preserve"> para la posición de EE. UU. En </w:t>
      </w:r>
      <w:r>
        <w:rPr>
          <w:rFonts w:ascii="Arial Narrow" w:hAnsi="Arial Narrow"/>
          <w:sz w:val="20"/>
          <w:szCs w:val="20"/>
        </w:rPr>
        <w:t>la versión de WikiLeaks</w:t>
      </w:r>
      <w:r w:rsidR="0079341E">
        <w:rPr>
          <w:rFonts w:ascii="Arial Narrow" w:hAnsi="Arial Narrow"/>
          <w:sz w:val="20"/>
          <w:szCs w:val="20"/>
        </w:rPr>
        <w:t xml:space="preserve"> </w:t>
      </w:r>
      <w:r w:rsidR="0079341E">
        <w:rPr>
          <w:rFonts w:ascii="Arial Narrow" w:hAnsi="Arial Narrow"/>
          <w:sz w:val="16"/>
          <w:szCs w:val="20"/>
        </w:rPr>
        <w:t>(5).</w:t>
      </w:r>
      <w:r w:rsidRPr="00446C31">
        <w:rPr>
          <w:rFonts w:ascii="Arial Narrow" w:hAnsi="Arial Narrow"/>
          <w:sz w:val="20"/>
          <w:szCs w:val="20"/>
        </w:rPr>
        <w:t xml:space="preserve"> El análisis y las recomendaciones resultantes no son exhaustivos.</w:t>
      </w:r>
    </w:p>
    <w:p w14:paraId="1086AC67" w14:textId="77777777" w:rsidR="00BF4F6F" w:rsidRPr="00446C31" w:rsidRDefault="00BF4F6F" w:rsidP="0004171C">
      <w:pPr>
        <w:jc w:val="both"/>
        <w:rPr>
          <w:rFonts w:ascii="Arial Narrow" w:hAnsi="Arial Narrow"/>
          <w:sz w:val="20"/>
          <w:szCs w:val="20"/>
        </w:rPr>
      </w:pPr>
    </w:p>
    <w:p w14:paraId="19909ADA" w14:textId="77777777" w:rsidR="00BF4F6F" w:rsidRPr="00446C31" w:rsidRDefault="00BF4F6F" w:rsidP="0004171C">
      <w:pPr>
        <w:jc w:val="both"/>
        <w:rPr>
          <w:rFonts w:ascii="Arial Narrow" w:hAnsi="Arial Narrow"/>
          <w:b/>
          <w:sz w:val="20"/>
          <w:szCs w:val="20"/>
        </w:rPr>
      </w:pPr>
      <w:r w:rsidRPr="00446C31">
        <w:rPr>
          <w:rFonts w:ascii="Arial Narrow" w:hAnsi="Arial Narrow"/>
          <w:b/>
          <w:sz w:val="20"/>
          <w:szCs w:val="20"/>
        </w:rPr>
        <w:t>Definiciones: "autoridad competente" y "representante primario"</w:t>
      </w:r>
    </w:p>
    <w:p w14:paraId="5B914FD8" w14:textId="77777777" w:rsidR="00BF4F6F" w:rsidRPr="00446C31" w:rsidRDefault="00BF4F6F" w:rsidP="0004171C">
      <w:pPr>
        <w:jc w:val="both"/>
        <w:rPr>
          <w:rFonts w:ascii="Arial Narrow" w:hAnsi="Arial Narrow"/>
          <w:sz w:val="20"/>
          <w:szCs w:val="20"/>
        </w:rPr>
      </w:pPr>
    </w:p>
    <w:p w14:paraId="70B10993" w14:textId="77777777" w:rsidR="00BF4F6F" w:rsidRPr="00446C31" w:rsidRDefault="00BF4F6F" w:rsidP="0004171C">
      <w:pPr>
        <w:jc w:val="both"/>
        <w:rPr>
          <w:rFonts w:ascii="Arial Narrow" w:hAnsi="Arial Narrow"/>
          <w:i/>
          <w:sz w:val="20"/>
          <w:szCs w:val="20"/>
        </w:rPr>
      </w:pPr>
      <w:r w:rsidRPr="00446C31">
        <w:rPr>
          <w:rFonts w:ascii="Arial Narrow" w:hAnsi="Arial Narrow"/>
          <w:i/>
          <w:sz w:val="20"/>
          <w:szCs w:val="20"/>
        </w:rPr>
        <w:t>Recomendación:</w:t>
      </w:r>
    </w:p>
    <w:p w14:paraId="52C9531F" w14:textId="77777777" w:rsidR="00BF4F6F" w:rsidRPr="00446C31" w:rsidRDefault="00BF4F6F" w:rsidP="0004171C">
      <w:pPr>
        <w:jc w:val="both"/>
        <w:rPr>
          <w:rFonts w:ascii="Arial Narrow" w:hAnsi="Arial Narrow"/>
          <w:sz w:val="20"/>
          <w:szCs w:val="20"/>
        </w:rPr>
      </w:pPr>
    </w:p>
    <w:p w14:paraId="1086BCE2" w14:textId="77777777" w:rsidR="00BF4F6F" w:rsidRPr="00446C31" w:rsidRDefault="00BF4F6F" w:rsidP="0004171C">
      <w:pPr>
        <w:jc w:val="both"/>
        <w:rPr>
          <w:rFonts w:ascii="Arial Narrow" w:hAnsi="Arial Narrow"/>
          <w:sz w:val="20"/>
          <w:szCs w:val="20"/>
        </w:rPr>
      </w:pPr>
      <w:r w:rsidRPr="00446C31">
        <w:rPr>
          <w:rFonts w:ascii="Arial Narrow" w:hAnsi="Arial Narrow"/>
          <w:sz w:val="20"/>
          <w:szCs w:val="20"/>
        </w:rPr>
        <w:t xml:space="preserve">Si bien </w:t>
      </w:r>
      <w:r>
        <w:rPr>
          <w:rFonts w:ascii="Arial Narrow" w:hAnsi="Arial Narrow"/>
          <w:sz w:val="20"/>
          <w:szCs w:val="20"/>
        </w:rPr>
        <w:t xml:space="preserve">el </w:t>
      </w:r>
      <w:r w:rsidRPr="00446C31">
        <w:rPr>
          <w:rFonts w:ascii="Arial Narrow" w:hAnsi="Arial Narrow"/>
          <w:sz w:val="20"/>
          <w:szCs w:val="20"/>
        </w:rPr>
        <w:t>TACD apoya la definición propuesta de</w:t>
      </w:r>
      <w:r>
        <w:rPr>
          <w:rFonts w:ascii="Arial Narrow" w:hAnsi="Arial Narrow"/>
          <w:sz w:val="20"/>
          <w:szCs w:val="20"/>
        </w:rPr>
        <w:t>l</w:t>
      </w:r>
      <w:r w:rsidRPr="00446C31">
        <w:rPr>
          <w:rFonts w:ascii="Arial Narrow" w:hAnsi="Arial Narrow"/>
          <w:sz w:val="20"/>
          <w:szCs w:val="20"/>
        </w:rPr>
        <w:t xml:space="preserve"> TTIP </w:t>
      </w:r>
      <w:r>
        <w:rPr>
          <w:rFonts w:ascii="Arial Narrow" w:hAnsi="Arial Narrow"/>
          <w:sz w:val="20"/>
          <w:szCs w:val="20"/>
        </w:rPr>
        <w:t xml:space="preserve">sobre </w:t>
      </w:r>
      <w:r w:rsidRPr="00446C31">
        <w:rPr>
          <w:rFonts w:ascii="Arial Narrow" w:hAnsi="Arial Narrow"/>
          <w:sz w:val="20"/>
          <w:szCs w:val="20"/>
        </w:rPr>
        <w:t>"autoridad competente" en cuestiones de MS</w:t>
      </w:r>
      <w:r>
        <w:rPr>
          <w:rFonts w:ascii="Arial Narrow" w:hAnsi="Arial Narrow"/>
          <w:sz w:val="20"/>
          <w:szCs w:val="20"/>
        </w:rPr>
        <w:t>y</w:t>
      </w:r>
      <w:r w:rsidRPr="00446C31">
        <w:rPr>
          <w:rFonts w:ascii="Arial Narrow" w:hAnsi="Arial Narrow"/>
          <w:sz w:val="20"/>
          <w:szCs w:val="20"/>
        </w:rPr>
        <w:t xml:space="preserve">F, </w:t>
      </w:r>
      <w:r>
        <w:rPr>
          <w:rFonts w:ascii="Arial Narrow" w:hAnsi="Arial Narrow"/>
          <w:sz w:val="20"/>
          <w:szCs w:val="20"/>
        </w:rPr>
        <w:t xml:space="preserve">el </w:t>
      </w:r>
      <w:r w:rsidRPr="00446C31">
        <w:rPr>
          <w:rFonts w:ascii="Arial Narrow" w:hAnsi="Arial Narrow"/>
          <w:sz w:val="20"/>
          <w:szCs w:val="20"/>
        </w:rPr>
        <w:t>TACD se opone a agregar una definición de "representante primario" al capítulo</w:t>
      </w:r>
      <w:r>
        <w:rPr>
          <w:rFonts w:ascii="Arial Narrow" w:hAnsi="Arial Narrow"/>
          <w:sz w:val="20"/>
          <w:szCs w:val="20"/>
        </w:rPr>
        <w:t xml:space="preserve"> </w:t>
      </w:r>
      <w:r w:rsidRPr="00446C31">
        <w:rPr>
          <w:rFonts w:ascii="Arial Narrow" w:hAnsi="Arial Narrow"/>
          <w:sz w:val="20"/>
          <w:szCs w:val="20"/>
        </w:rPr>
        <w:t>MS</w:t>
      </w:r>
      <w:r>
        <w:rPr>
          <w:rFonts w:ascii="Arial Narrow" w:hAnsi="Arial Narrow"/>
          <w:sz w:val="20"/>
          <w:szCs w:val="20"/>
        </w:rPr>
        <w:t>y</w:t>
      </w:r>
      <w:r w:rsidRPr="00446C31">
        <w:rPr>
          <w:rFonts w:ascii="Arial Narrow" w:hAnsi="Arial Narrow"/>
          <w:sz w:val="20"/>
          <w:szCs w:val="20"/>
        </w:rPr>
        <w:t xml:space="preserve">F </w:t>
      </w:r>
      <w:r>
        <w:rPr>
          <w:rFonts w:ascii="Arial Narrow" w:hAnsi="Arial Narrow"/>
          <w:sz w:val="20"/>
          <w:szCs w:val="20"/>
        </w:rPr>
        <w:t>del TTIP</w:t>
      </w:r>
      <w:r w:rsidRPr="00446C31">
        <w:rPr>
          <w:rFonts w:ascii="Arial Narrow" w:hAnsi="Arial Narrow"/>
          <w:sz w:val="20"/>
          <w:szCs w:val="20"/>
        </w:rPr>
        <w:t>, como la del capítulo MS</w:t>
      </w:r>
      <w:r>
        <w:rPr>
          <w:rFonts w:ascii="Arial Narrow" w:hAnsi="Arial Narrow"/>
          <w:sz w:val="20"/>
          <w:szCs w:val="20"/>
        </w:rPr>
        <w:t>y</w:t>
      </w:r>
      <w:r w:rsidRPr="00446C31">
        <w:rPr>
          <w:rFonts w:ascii="Arial Narrow" w:hAnsi="Arial Narrow"/>
          <w:sz w:val="20"/>
          <w:szCs w:val="20"/>
        </w:rPr>
        <w:t>F de</w:t>
      </w:r>
      <w:r>
        <w:rPr>
          <w:rFonts w:ascii="Arial Narrow" w:hAnsi="Arial Narrow"/>
          <w:sz w:val="20"/>
          <w:szCs w:val="20"/>
        </w:rPr>
        <w:t>l</w:t>
      </w:r>
      <w:r w:rsidRPr="00446C31">
        <w:rPr>
          <w:rFonts w:ascii="Arial Narrow" w:hAnsi="Arial Narrow"/>
          <w:sz w:val="20"/>
          <w:szCs w:val="20"/>
        </w:rPr>
        <w:t xml:space="preserve"> TPP. La inclusión de dicho "representante primario" podría resultar en la inclusión de funcionarios</w:t>
      </w:r>
      <w:r>
        <w:rPr>
          <w:rFonts w:ascii="Arial Narrow" w:hAnsi="Arial Narrow"/>
          <w:sz w:val="20"/>
          <w:szCs w:val="20"/>
        </w:rPr>
        <w:t xml:space="preserve"> </w:t>
      </w:r>
      <w:r w:rsidRPr="00446C31">
        <w:rPr>
          <w:rFonts w:ascii="Arial Narrow" w:hAnsi="Arial Narrow"/>
          <w:sz w:val="20"/>
          <w:szCs w:val="20"/>
        </w:rPr>
        <w:t>en el Comité de Gestión Conjunta del TTIP para cuestiones de MS</w:t>
      </w:r>
      <w:r>
        <w:rPr>
          <w:rFonts w:ascii="Arial Narrow" w:hAnsi="Arial Narrow"/>
          <w:sz w:val="20"/>
          <w:szCs w:val="20"/>
        </w:rPr>
        <w:t>y</w:t>
      </w:r>
      <w:r w:rsidRPr="00446C31">
        <w:rPr>
          <w:rFonts w:ascii="Arial Narrow" w:hAnsi="Arial Narrow"/>
          <w:sz w:val="20"/>
          <w:szCs w:val="20"/>
        </w:rPr>
        <w:t>F de una agencia sin competencia en materia de MS</w:t>
      </w:r>
      <w:r>
        <w:rPr>
          <w:rFonts w:ascii="Arial Narrow" w:hAnsi="Arial Narrow"/>
          <w:sz w:val="20"/>
          <w:szCs w:val="20"/>
        </w:rPr>
        <w:t>y</w:t>
      </w:r>
      <w:r w:rsidRPr="00446C31">
        <w:rPr>
          <w:rFonts w:ascii="Arial Narrow" w:hAnsi="Arial Narrow"/>
          <w:sz w:val="20"/>
          <w:szCs w:val="20"/>
        </w:rPr>
        <w:t xml:space="preserve">F </w:t>
      </w:r>
      <w:r>
        <w:rPr>
          <w:rFonts w:ascii="Arial Narrow" w:hAnsi="Arial Narrow"/>
          <w:sz w:val="20"/>
          <w:szCs w:val="20"/>
        </w:rPr>
        <w:t>o autoridad estatutaria sobre</w:t>
      </w:r>
      <w:r w:rsidRPr="00446C31">
        <w:rPr>
          <w:rFonts w:ascii="Arial Narrow" w:hAnsi="Arial Narrow"/>
          <w:sz w:val="20"/>
          <w:szCs w:val="20"/>
        </w:rPr>
        <w:t xml:space="preserve"> MS</w:t>
      </w:r>
      <w:r>
        <w:rPr>
          <w:rFonts w:ascii="Arial Narrow" w:hAnsi="Arial Narrow"/>
          <w:sz w:val="20"/>
          <w:szCs w:val="20"/>
        </w:rPr>
        <w:t>y</w:t>
      </w:r>
      <w:r w:rsidRPr="00446C31">
        <w:rPr>
          <w:rFonts w:ascii="Arial Narrow" w:hAnsi="Arial Narrow"/>
          <w:sz w:val="20"/>
          <w:szCs w:val="20"/>
        </w:rPr>
        <w:t>F.</w:t>
      </w:r>
    </w:p>
    <w:p w14:paraId="1C08DDCE" w14:textId="77777777" w:rsidR="00BF4F6F" w:rsidRDefault="00BF4F6F" w:rsidP="0004171C">
      <w:pPr>
        <w:jc w:val="both"/>
        <w:rPr>
          <w:rFonts w:ascii="Arial Narrow" w:hAnsi="Arial Narrow"/>
          <w:sz w:val="20"/>
          <w:szCs w:val="20"/>
        </w:rPr>
      </w:pPr>
    </w:p>
    <w:p w14:paraId="1B31E80D" w14:textId="77777777" w:rsidR="0004171C" w:rsidRDefault="0004171C" w:rsidP="0004171C">
      <w:pPr>
        <w:jc w:val="both"/>
        <w:rPr>
          <w:rFonts w:ascii="Arial Narrow" w:hAnsi="Arial Narrow"/>
          <w:sz w:val="20"/>
          <w:szCs w:val="20"/>
        </w:rPr>
      </w:pPr>
    </w:p>
    <w:p w14:paraId="64A007BF" w14:textId="77777777" w:rsidR="0004171C" w:rsidRPr="00446C31" w:rsidRDefault="0004171C" w:rsidP="0004171C">
      <w:pPr>
        <w:jc w:val="both"/>
        <w:rPr>
          <w:rFonts w:ascii="Arial Narrow" w:hAnsi="Arial Narrow"/>
          <w:sz w:val="20"/>
          <w:szCs w:val="20"/>
        </w:rPr>
      </w:pPr>
    </w:p>
    <w:p w14:paraId="6A562019" w14:textId="77777777" w:rsidR="00BF4F6F" w:rsidRPr="00446C31" w:rsidRDefault="00BF4F6F" w:rsidP="0004171C">
      <w:pPr>
        <w:jc w:val="both"/>
        <w:rPr>
          <w:rFonts w:ascii="Arial Narrow" w:hAnsi="Arial Narrow"/>
          <w:sz w:val="20"/>
          <w:szCs w:val="20"/>
        </w:rPr>
      </w:pPr>
      <w:r w:rsidRPr="002C0C2A">
        <w:rPr>
          <w:rFonts w:ascii="Arial Narrow" w:hAnsi="Arial Narrow"/>
          <w:i/>
          <w:sz w:val="20"/>
          <w:szCs w:val="20"/>
        </w:rPr>
        <w:t>Antecedentes</w:t>
      </w:r>
      <w:r w:rsidRPr="00446C31">
        <w:rPr>
          <w:rFonts w:ascii="Arial Narrow" w:hAnsi="Arial Narrow"/>
          <w:sz w:val="20"/>
          <w:szCs w:val="20"/>
        </w:rPr>
        <w:t>:</w:t>
      </w:r>
    </w:p>
    <w:p w14:paraId="051A46A3" w14:textId="77777777" w:rsidR="00BF4F6F" w:rsidRPr="00446C31" w:rsidRDefault="00BF4F6F" w:rsidP="0004171C">
      <w:pPr>
        <w:jc w:val="both"/>
        <w:rPr>
          <w:rFonts w:ascii="Arial Narrow" w:hAnsi="Arial Narrow"/>
          <w:sz w:val="20"/>
          <w:szCs w:val="20"/>
        </w:rPr>
      </w:pPr>
    </w:p>
    <w:p w14:paraId="5C148FBD" w14:textId="77777777" w:rsidR="00BF4F6F" w:rsidRPr="00446C31" w:rsidRDefault="00BF4F6F" w:rsidP="0004171C">
      <w:pPr>
        <w:jc w:val="both"/>
        <w:rPr>
          <w:rFonts w:ascii="Arial Narrow" w:hAnsi="Arial Narrow"/>
          <w:sz w:val="20"/>
          <w:szCs w:val="20"/>
        </w:rPr>
      </w:pPr>
      <w:r w:rsidRPr="00446C31">
        <w:rPr>
          <w:rFonts w:ascii="Arial Narrow" w:hAnsi="Arial Narrow"/>
          <w:sz w:val="20"/>
          <w:szCs w:val="20"/>
        </w:rPr>
        <w:t xml:space="preserve">Las definiciones son cruciales para realizar y poner en práctica el compromiso vinculante del </w:t>
      </w:r>
      <w:r>
        <w:rPr>
          <w:rFonts w:ascii="Arial Narrow" w:hAnsi="Arial Narrow"/>
          <w:sz w:val="20"/>
          <w:szCs w:val="20"/>
        </w:rPr>
        <w:t xml:space="preserve">TTIP </w:t>
      </w:r>
      <w:r w:rsidRPr="00446C31">
        <w:rPr>
          <w:rFonts w:ascii="Arial Narrow" w:hAnsi="Arial Narrow"/>
          <w:sz w:val="20"/>
          <w:szCs w:val="20"/>
        </w:rPr>
        <w:t xml:space="preserve">de proporcionar el "nivel apropiado de protección sanitaria y fitosanitaria". El artículo 5 de la propuesta de la Comisión requiere que se definan los organismos </w:t>
      </w:r>
      <w:r>
        <w:rPr>
          <w:rFonts w:ascii="Arial Narrow" w:hAnsi="Arial Narrow"/>
          <w:sz w:val="20"/>
          <w:szCs w:val="20"/>
        </w:rPr>
        <w:t xml:space="preserve">relevantes sobre </w:t>
      </w:r>
      <w:r w:rsidRPr="00446C31">
        <w:rPr>
          <w:rFonts w:ascii="Arial Narrow" w:hAnsi="Arial Narrow"/>
          <w:sz w:val="20"/>
          <w:szCs w:val="20"/>
        </w:rPr>
        <w:t>MS</w:t>
      </w:r>
      <w:r>
        <w:rPr>
          <w:rFonts w:ascii="Arial Narrow" w:hAnsi="Arial Narrow"/>
          <w:sz w:val="20"/>
          <w:szCs w:val="20"/>
        </w:rPr>
        <w:t>y</w:t>
      </w:r>
      <w:r w:rsidRPr="00446C31">
        <w:rPr>
          <w:rFonts w:ascii="Arial Narrow" w:hAnsi="Arial Narrow"/>
          <w:sz w:val="20"/>
          <w:szCs w:val="20"/>
        </w:rPr>
        <w:t xml:space="preserve">F correspondientes a su definición de "autoridad competente" (Artículo 2b). en un apéndice. </w:t>
      </w:r>
      <w:r>
        <w:rPr>
          <w:rFonts w:ascii="Arial Narrow" w:hAnsi="Arial Narrow"/>
          <w:sz w:val="20"/>
          <w:szCs w:val="20"/>
        </w:rPr>
        <w:t xml:space="preserve">El </w:t>
      </w:r>
      <w:r w:rsidRPr="00446C31">
        <w:rPr>
          <w:rFonts w:ascii="Arial Narrow" w:hAnsi="Arial Narrow"/>
          <w:sz w:val="20"/>
          <w:szCs w:val="20"/>
        </w:rPr>
        <w:t>TACD está de acuerdo con esta definición ortodoxa de "autoridad competente".</w:t>
      </w:r>
    </w:p>
    <w:p w14:paraId="1BDB2C2A" w14:textId="77777777" w:rsidR="00BF4F6F" w:rsidRPr="00446C31" w:rsidRDefault="00BF4F6F" w:rsidP="0004171C">
      <w:pPr>
        <w:jc w:val="both"/>
        <w:rPr>
          <w:rFonts w:ascii="Arial Narrow" w:hAnsi="Arial Narrow"/>
          <w:sz w:val="20"/>
          <w:szCs w:val="20"/>
        </w:rPr>
      </w:pPr>
    </w:p>
    <w:p w14:paraId="423A0D51" w14:textId="77777777" w:rsidR="00BF4F6F" w:rsidRPr="00446C31" w:rsidRDefault="00BF4F6F" w:rsidP="0004171C">
      <w:pPr>
        <w:jc w:val="both"/>
        <w:rPr>
          <w:rFonts w:ascii="Arial Narrow" w:hAnsi="Arial Narrow"/>
          <w:sz w:val="20"/>
          <w:szCs w:val="20"/>
        </w:rPr>
      </w:pPr>
      <w:r w:rsidRPr="00446C31">
        <w:rPr>
          <w:rFonts w:ascii="Arial Narrow" w:hAnsi="Arial Narrow"/>
          <w:sz w:val="20"/>
          <w:szCs w:val="20"/>
        </w:rPr>
        <w:t>El capítulo MS</w:t>
      </w:r>
      <w:r>
        <w:rPr>
          <w:rFonts w:ascii="Arial Narrow" w:hAnsi="Arial Narrow"/>
          <w:sz w:val="20"/>
          <w:szCs w:val="20"/>
        </w:rPr>
        <w:t>y</w:t>
      </w:r>
      <w:r w:rsidRPr="00446C31">
        <w:rPr>
          <w:rFonts w:ascii="Arial Narrow" w:hAnsi="Arial Narrow"/>
          <w:sz w:val="20"/>
          <w:szCs w:val="20"/>
        </w:rPr>
        <w:t xml:space="preserve">F del TPP define "autoridad competente" como "un organismo gubernamental de cada Parte responsable de las medidas y asuntos a los que se hace referencia en este Capítulo" (Artículo 7.1.2). Ese mismo capítulo define "representante primario" como "el cuerpo gubernamental de un Parte que es responsable de la implementación de este Capítulo y la coordinación de la participación de esa Parte en las actividades del Comité en virtud del Artículo 7.5 (Comité de Medidas Sanitarias y Fitosanitarias) "(Artículo 7.1.2) La adición de un" representante principal "al El Comité de Gestión de cuestiones sanitarias y fitosanitarias </w:t>
      </w:r>
      <w:r>
        <w:rPr>
          <w:rFonts w:ascii="Arial Narrow" w:hAnsi="Arial Narrow"/>
          <w:sz w:val="20"/>
          <w:szCs w:val="20"/>
        </w:rPr>
        <w:t xml:space="preserve">del </w:t>
      </w:r>
      <w:r w:rsidRPr="00446C31">
        <w:rPr>
          <w:rFonts w:ascii="Arial Narrow" w:hAnsi="Arial Narrow"/>
          <w:sz w:val="20"/>
          <w:szCs w:val="20"/>
        </w:rPr>
        <w:t>TTIP podría dar lugar a la subordinación de la autoridad competente pertinente a un "representante primario" sin competencia ni autoridad MS</w:t>
      </w:r>
      <w:r>
        <w:rPr>
          <w:rFonts w:ascii="Arial Narrow" w:hAnsi="Arial Narrow"/>
          <w:sz w:val="20"/>
          <w:szCs w:val="20"/>
        </w:rPr>
        <w:t>y</w:t>
      </w:r>
      <w:r w:rsidRPr="00446C31">
        <w:rPr>
          <w:rFonts w:ascii="Arial Narrow" w:hAnsi="Arial Narrow"/>
          <w:sz w:val="20"/>
          <w:szCs w:val="20"/>
        </w:rPr>
        <w:t>F.</w:t>
      </w:r>
    </w:p>
    <w:p w14:paraId="481DAFE5" w14:textId="77777777" w:rsidR="00BF4F6F" w:rsidRPr="00446C31" w:rsidRDefault="00BF4F6F" w:rsidP="0004171C">
      <w:pPr>
        <w:jc w:val="both"/>
        <w:rPr>
          <w:rFonts w:ascii="Arial Narrow" w:hAnsi="Arial Narrow"/>
          <w:sz w:val="20"/>
          <w:szCs w:val="20"/>
        </w:rPr>
      </w:pPr>
    </w:p>
    <w:p w14:paraId="35F1CB5E" w14:textId="77777777" w:rsidR="00BF4F6F" w:rsidRPr="00446C31" w:rsidRDefault="00BF4F6F" w:rsidP="0004171C">
      <w:pPr>
        <w:jc w:val="both"/>
        <w:rPr>
          <w:rFonts w:ascii="Arial Narrow" w:hAnsi="Arial Narrow"/>
          <w:b/>
          <w:sz w:val="20"/>
          <w:szCs w:val="20"/>
        </w:rPr>
      </w:pPr>
      <w:r w:rsidRPr="00446C31">
        <w:rPr>
          <w:rFonts w:ascii="Arial Narrow" w:hAnsi="Arial Narrow"/>
          <w:b/>
          <w:sz w:val="20"/>
          <w:szCs w:val="20"/>
        </w:rPr>
        <w:t>Implementar y proporcionar recursos adecuados para implementar el derecho a regular y el "nivel apropiado de protección sanitaria y fitosanitaria"</w:t>
      </w:r>
    </w:p>
    <w:p w14:paraId="1813B390" w14:textId="77777777" w:rsidR="00BF4F6F" w:rsidRPr="00446C31" w:rsidRDefault="00BF4F6F" w:rsidP="0004171C">
      <w:pPr>
        <w:jc w:val="both"/>
        <w:rPr>
          <w:rFonts w:ascii="Arial Narrow" w:hAnsi="Arial Narrow"/>
          <w:sz w:val="20"/>
          <w:szCs w:val="20"/>
        </w:rPr>
      </w:pPr>
    </w:p>
    <w:p w14:paraId="46DC49B1" w14:textId="77777777" w:rsidR="00BF4F6F" w:rsidRPr="00446C31" w:rsidRDefault="00BF4F6F" w:rsidP="0004171C">
      <w:pPr>
        <w:jc w:val="both"/>
        <w:rPr>
          <w:rFonts w:ascii="Arial Narrow" w:hAnsi="Arial Narrow"/>
          <w:i/>
          <w:sz w:val="20"/>
          <w:szCs w:val="20"/>
        </w:rPr>
      </w:pPr>
      <w:r w:rsidRPr="00446C31">
        <w:rPr>
          <w:rFonts w:ascii="Arial Narrow" w:hAnsi="Arial Narrow"/>
          <w:i/>
          <w:sz w:val="20"/>
          <w:szCs w:val="20"/>
        </w:rPr>
        <w:t>Recomendación</w:t>
      </w:r>
    </w:p>
    <w:p w14:paraId="0C03F5DA" w14:textId="77777777" w:rsidR="00BF4F6F" w:rsidRPr="00446C31" w:rsidRDefault="00BF4F6F" w:rsidP="0004171C">
      <w:pPr>
        <w:jc w:val="both"/>
        <w:rPr>
          <w:rFonts w:ascii="Arial Narrow" w:hAnsi="Arial Narrow"/>
          <w:sz w:val="20"/>
          <w:szCs w:val="20"/>
        </w:rPr>
      </w:pPr>
    </w:p>
    <w:p w14:paraId="0EFB6AEA" w14:textId="77777777" w:rsidR="00BF4F6F" w:rsidRDefault="00BF4F6F" w:rsidP="0004171C">
      <w:pPr>
        <w:jc w:val="both"/>
        <w:rPr>
          <w:rFonts w:ascii="Arial Narrow" w:hAnsi="Arial Narrow"/>
          <w:sz w:val="20"/>
          <w:szCs w:val="20"/>
        </w:rPr>
      </w:pPr>
      <w:r>
        <w:rPr>
          <w:rFonts w:ascii="Arial Narrow" w:hAnsi="Arial Narrow"/>
          <w:sz w:val="20"/>
          <w:szCs w:val="20"/>
        </w:rPr>
        <w:t xml:space="preserve">El </w:t>
      </w:r>
      <w:r w:rsidRPr="00446C31">
        <w:rPr>
          <w:rFonts w:ascii="Arial Narrow" w:hAnsi="Arial Narrow"/>
          <w:sz w:val="20"/>
          <w:szCs w:val="20"/>
        </w:rPr>
        <w:t>TACD recomienda que se agregue un Artículo 3a al texto propuesto de MS</w:t>
      </w:r>
      <w:r>
        <w:rPr>
          <w:rFonts w:ascii="Arial Narrow" w:hAnsi="Arial Narrow"/>
          <w:sz w:val="20"/>
          <w:szCs w:val="20"/>
        </w:rPr>
        <w:t>y</w:t>
      </w:r>
      <w:r w:rsidRPr="00446C31">
        <w:rPr>
          <w:rFonts w:ascii="Arial Narrow" w:hAnsi="Arial Narrow"/>
          <w:sz w:val="20"/>
          <w:szCs w:val="20"/>
        </w:rPr>
        <w:t>F de la Comisión, para estipular que las Partes deben recurrir a la solución de controversias entre Estados, si cualquiera de las Partes incumple el Artículo 3, si los recursos disponibles para implementar el Capítulo provienen de gobiernos o del sector con fines de lucro. En ausencia de un mecanismo de aplicación para asegurar que se disponga de recursos suficientes para implementar todas las disposiciones del Capítulo MS</w:t>
      </w:r>
      <w:r>
        <w:rPr>
          <w:rFonts w:ascii="Arial Narrow" w:hAnsi="Arial Narrow"/>
          <w:sz w:val="20"/>
          <w:szCs w:val="20"/>
        </w:rPr>
        <w:t>y</w:t>
      </w:r>
      <w:r w:rsidRPr="00446C31">
        <w:rPr>
          <w:rFonts w:ascii="Arial Narrow" w:hAnsi="Arial Narrow"/>
          <w:sz w:val="20"/>
          <w:szCs w:val="20"/>
        </w:rPr>
        <w:t>F, los gobiernos podrían discriminar económicamente contra medidas sanitarias y fitosanitarias que efectivamente "preservan el derecho a proteger" en lugar de pagar preferentemente por medidas sanitarias y fitosanit</w:t>
      </w:r>
      <w:r>
        <w:rPr>
          <w:rFonts w:ascii="Arial Narrow" w:hAnsi="Arial Narrow"/>
          <w:sz w:val="20"/>
          <w:szCs w:val="20"/>
        </w:rPr>
        <w:t>arias que faciliten el comercio</w:t>
      </w:r>
      <w:r w:rsidRPr="00446C31">
        <w:rPr>
          <w:rFonts w:ascii="Arial Narrow" w:hAnsi="Arial Narrow"/>
          <w:sz w:val="20"/>
          <w:szCs w:val="20"/>
        </w:rPr>
        <w:t xml:space="preserve"> </w:t>
      </w:r>
      <w:r>
        <w:rPr>
          <w:rFonts w:ascii="Arial Narrow" w:hAnsi="Arial Narrow"/>
          <w:sz w:val="20"/>
          <w:szCs w:val="20"/>
        </w:rPr>
        <w:t>“</w:t>
      </w:r>
      <w:r w:rsidRPr="00446C31">
        <w:rPr>
          <w:rFonts w:ascii="Arial Narrow" w:hAnsi="Arial Narrow"/>
          <w:sz w:val="20"/>
          <w:szCs w:val="20"/>
        </w:rPr>
        <w:t>en la mayor medida posible ".</w:t>
      </w:r>
    </w:p>
    <w:p w14:paraId="5E4147C1" w14:textId="77777777" w:rsidR="00BF4F6F" w:rsidRDefault="00BF4F6F" w:rsidP="0004171C">
      <w:pPr>
        <w:jc w:val="both"/>
        <w:rPr>
          <w:rFonts w:ascii="Arial Narrow" w:hAnsi="Arial Narrow"/>
          <w:sz w:val="20"/>
          <w:szCs w:val="20"/>
        </w:rPr>
      </w:pPr>
    </w:p>
    <w:p w14:paraId="096AB286" w14:textId="77777777" w:rsidR="00BF4F6F" w:rsidRPr="00B564A2" w:rsidRDefault="00BF4F6F" w:rsidP="0004171C">
      <w:pPr>
        <w:jc w:val="both"/>
        <w:rPr>
          <w:rFonts w:ascii="Arial Narrow" w:hAnsi="Arial Narrow"/>
          <w:i/>
          <w:sz w:val="20"/>
          <w:szCs w:val="20"/>
        </w:rPr>
      </w:pPr>
      <w:r w:rsidRPr="00B564A2">
        <w:rPr>
          <w:rFonts w:ascii="Arial Narrow" w:hAnsi="Arial Narrow"/>
          <w:i/>
          <w:sz w:val="20"/>
          <w:szCs w:val="20"/>
        </w:rPr>
        <w:t xml:space="preserve">Antecedente </w:t>
      </w:r>
    </w:p>
    <w:p w14:paraId="5D4F785F" w14:textId="77777777" w:rsidR="00BF4F6F" w:rsidRPr="00B564A2" w:rsidRDefault="00BF4F6F" w:rsidP="0004171C">
      <w:pPr>
        <w:jc w:val="both"/>
        <w:rPr>
          <w:rFonts w:ascii="Arial Narrow" w:hAnsi="Arial Narrow"/>
          <w:sz w:val="20"/>
          <w:szCs w:val="20"/>
        </w:rPr>
      </w:pPr>
    </w:p>
    <w:p w14:paraId="4CC9CF78" w14:textId="77777777" w:rsidR="00BF4F6F" w:rsidRPr="00B564A2" w:rsidRDefault="00BF4F6F" w:rsidP="0004171C">
      <w:pPr>
        <w:jc w:val="both"/>
        <w:rPr>
          <w:rFonts w:ascii="Arial Narrow" w:hAnsi="Arial Narrow"/>
          <w:sz w:val="20"/>
          <w:szCs w:val="20"/>
        </w:rPr>
      </w:pPr>
      <w:r w:rsidRPr="00B564A2">
        <w:rPr>
          <w:rFonts w:ascii="Arial Narrow" w:hAnsi="Arial Narrow"/>
          <w:sz w:val="20"/>
          <w:szCs w:val="20"/>
        </w:rPr>
        <w:t>Uno de los objetivos de la propuesta MS</w:t>
      </w:r>
      <w:r>
        <w:rPr>
          <w:rFonts w:ascii="Arial Narrow" w:hAnsi="Arial Narrow"/>
          <w:sz w:val="20"/>
          <w:szCs w:val="20"/>
        </w:rPr>
        <w:t>y</w:t>
      </w:r>
      <w:r w:rsidRPr="00B564A2">
        <w:rPr>
          <w:rFonts w:ascii="Arial Narrow" w:hAnsi="Arial Narrow"/>
          <w:sz w:val="20"/>
          <w:szCs w:val="20"/>
        </w:rPr>
        <w:t>F de la Comisión es "Facilitar el comercio entre las Partes en la mayor medida posible, al tiempo que se preserva el derecho de cada Parte a proteger la vida y la salud humana, animal o vegetal en su territorio. . . "</w:t>
      </w:r>
      <w:r>
        <w:rPr>
          <w:rFonts w:ascii="Arial Narrow" w:hAnsi="Arial Narrow"/>
          <w:sz w:val="20"/>
          <w:szCs w:val="20"/>
        </w:rPr>
        <w:t xml:space="preserve"> </w:t>
      </w:r>
      <w:r w:rsidRPr="00B564A2">
        <w:rPr>
          <w:rFonts w:ascii="Arial Narrow" w:hAnsi="Arial Narrow"/>
          <w:sz w:val="20"/>
          <w:szCs w:val="20"/>
        </w:rPr>
        <w:t>(Artículo propuesto por la UE 2.1). El "derecho a proteger", así como la facilitación del comercio, sin embargo, requieren recursos humanos, presupuestarios y de regulación de infraestructura para hacer realidad ese derecho. La Comisión propuso que el texto MS</w:t>
      </w:r>
      <w:r>
        <w:rPr>
          <w:rFonts w:ascii="Arial Narrow" w:hAnsi="Arial Narrow"/>
          <w:sz w:val="20"/>
          <w:szCs w:val="20"/>
        </w:rPr>
        <w:t>y</w:t>
      </w:r>
      <w:r w:rsidRPr="00B564A2">
        <w:rPr>
          <w:rFonts w:ascii="Arial Narrow" w:hAnsi="Arial Narrow"/>
          <w:sz w:val="20"/>
          <w:szCs w:val="20"/>
        </w:rPr>
        <w:t xml:space="preserve">F declare que "las Partes deberán hacer uso de los recursos necesarios para implementar efectivamente este Capítulo" (Artículo 3 propuesto por la UE). </w:t>
      </w:r>
      <w:r>
        <w:rPr>
          <w:rFonts w:ascii="Arial Narrow" w:hAnsi="Arial Narrow"/>
          <w:sz w:val="20"/>
          <w:szCs w:val="20"/>
        </w:rPr>
        <w:t xml:space="preserve">Las MSyF del </w:t>
      </w:r>
      <w:r w:rsidRPr="00B564A2">
        <w:rPr>
          <w:rFonts w:ascii="Arial Narrow" w:hAnsi="Arial Narrow"/>
          <w:sz w:val="20"/>
          <w:szCs w:val="20"/>
        </w:rPr>
        <w:t>TPP no tiene tal requerimiento vinculante.</w:t>
      </w:r>
    </w:p>
    <w:p w14:paraId="75290B34" w14:textId="77777777" w:rsidR="00BF4F6F" w:rsidRPr="00B564A2" w:rsidRDefault="00BF4F6F" w:rsidP="0004171C">
      <w:pPr>
        <w:jc w:val="both"/>
        <w:rPr>
          <w:rFonts w:ascii="Arial Narrow" w:hAnsi="Arial Narrow"/>
          <w:sz w:val="20"/>
          <w:szCs w:val="20"/>
        </w:rPr>
      </w:pPr>
    </w:p>
    <w:p w14:paraId="429FB736" w14:textId="506E885A" w:rsidR="00BF4F6F" w:rsidRPr="00B564A2" w:rsidRDefault="00BF4F6F" w:rsidP="0004171C">
      <w:pPr>
        <w:jc w:val="both"/>
        <w:rPr>
          <w:rFonts w:ascii="Arial Narrow" w:hAnsi="Arial Narrow"/>
          <w:sz w:val="20"/>
          <w:szCs w:val="20"/>
        </w:rPr>
      </w:pPr>
      <w:r>
        <w:rPr>
          <w:rFonts w:ascii="Arial Narrow" w:hAnsi="Arial Narrow"/>
          <w:sz w:val="20"/>
          <w:szCs w:val="20"/>
        </w:rPr>
        <w:t xml:space="preserve">El </w:t>
      </w:r>
      <w:r w:rsidRPr="00B564A2">
        <w:rPr>
          <w:rFonts w:ascii="Arial Narrow" w:hAnsi="Arial Narrow"/>
          <w:sz w:val="20"/>
          <w:szCs w:val="20"/>
        </w:rPr>
        <w:t>TACD no cree que ni Estados Unidos ni la Comisión Europea usen el capítulo de Solución de Controversias de Estado a Estado para litigar contra el otro por no cumplir con el Artículo 3, en el improbable caso de que los Estados Unidos lo acepten</w:t>
      </w:r>
      <w:r w:rsidR="0079341E">
        <w:rPr>
          <w:rFonts w:ascii="Arial Narrow" w:hAnsi="Arial Narrow"/>
          <w:sz w:val="20"/>
          <w:szCs w:val="20"/>
        </w:rPr>
        <w:t xml:space="preserve"> </w:t>
      </w:r>
      <w:r w:rsidR="0079341E">
        <w:rPr>
          <w:rFonts w:ascii="Arial Narrow" w:hAnsi="Arial Narrow"/>
          <w:sz w:val="16"/>
          <w:szCs w:val="20"/>
        </w:rPr>
        <w:t>(6).</w:t>
      </w:r>
      <w:r w:rsidRPr="00B564A2">
        <w:rPr>
          <w:rFonts w:ascii="Arial Narrow" w:hAnsi="Arial Narrow"/>
          <w:sz w:val="20"/>
          <w:szCs w:val="20"/>
        </w:rPr>
        <w:t xml:space="preserve"> Cada Parte debe asegurarse de que sus instalaciones y envíos de exportación cumplan con los requisitos de seguridad alimentaria de la otra Parte. Sin embargo, la financiación insuficiente de los controles alimentarios pondría en peligro la correcta aplicación del Capítulo MS</w:t>
      </w:r>
      <w:r>
        <w:rPr>
          <w:rFonts w:ascii="Arial Narrow" w:hAnsi="Arial Narrow"/>
          <w:sz w:val="20"/>
          <w:szCs w:val="20"/>
        </w:rPr>
        <w:t>y</w:t>
      </w:r>
      <w:r w:rsidRPr="00B564A2">
        <w:rPr>
          <w:rFonts w:ascii="Arial Narrow" w:hAnsi="Arial Narrow"/>
          <w:sz w:val="20"/>
          <w:szCs w:val="20"/>
        </w:rPr>
        <w:t xml:space="preserve">F. Por ejemplo, el presupuesto y la dotación de personal de la Administración de Alimentos y Medicamentos </w:t>
      </w:r>
      <w:r>
        <w:rPr>
          <w:rFonts w:ascii="Arial Narrow" w:hAnsi="Arial Narrow"/>
          <w:sz w:val="20"/>
          <w:szCs w:val="20"/>
        </w:rPr>
        <w:t xml:space="preserve">(la FDA) </w:t>
      </w:r>
      <w:r w:rsidRPr="00B564A2">
        <w:rPr>
          <w:rFonts w:ascii="Arial Narrow" w:hAnsi="Arial Narrow"/>
          <w:sz w:val="20"/>
          <w:szCs w:val="20"/>
        </w:rPr>
        <w:t>no le permite inspeccionar ni siquiera un tercio de las instalaciones extranjeras de exportación de alimentos ordenadas por la Ley de Modernización de la Inocuidad de los Alimentos de ￼2010</w:t>
      </w:r>
      <w:r w:rsidR="0079341E">
        <w:rPr>
          <w:rFonts w:ascii="Arial Narrow" w:hAnsi="Arial Narrow"/>
          <w:sz w:val="20"/>
          <w:szCs w:val="20"/>
        </w:rPr>
        <w:t xml:space="preserve"> </w:t>
      </w:r>
      <w:r w:rsidR="0079341E">
        <w:rPr>
          <w:rFonts w:ascii="Arial Narrow" w:hAnsi="Arial Narrow"/>
          <w:sz w:val="16"/>
          <w:szCs w:val="20"/>
        </w:rPr>
        <w:t>(7).</w:t>
      </w:r>
      <w:r w:rsidRPr="00B564A2">
        <w:rPr>
          <w:rFonts w:ascii="Arial Narrow" w:hAnsi="Arial Narrow"/>
          <w:sz w:val="20"/>
          <w:szCs w:val="20"/>
        </w:rPr>
        <w:t xml:space="preserve"> Un financiamiento insuficiente de los controles de alimentos también es un problema en la Unión Europea, donde las tarifas obligatorias aplicadas a los operadores comerciales se han propuesto para pagar los costos del sistema de control. Sin embargo, el Consejo Europeo y el Parlamento rechazaron las tarifas obligatorias para estos servicios regulatorios.</w:t>
      </w:r>
    </w:p>
    <w:p w14:paraId="04446D0F" w14:textId="77777777" w:rsidR="00BF4F6F" w:rsidRPr="00B564A2" w:rsidRDefault="00BF4F6F" w:rsidP="0004171C">
      <w:pPr>
        <w:jc w:val="both"/>
        <w:rPr>
          <w:rFonts w:ascii="Arial Narrow" w:hAnsi="Arial Narrow"/>
          <w:sz w:val="20"/>
          <w:szCs w:val="20"/>
        </w:rPr>
      </w:pPr>
    </w:p>
    <w:p w14:paraId="50189524" w14:textId="77777777" w:rsidR="00BF4F6F" w:rsidRPr="00B564A2" w:rsidRDefault="00BF4F6F" w:rsidP="0004171C">
      <w:pPr>
        <w:jc w:val="both"/>
        <w:rPr>
          <w:rFonts w:ascii="Arial Narrow" w:hAnsi="Arial Narrow"/>
          <w:sz w:val="20"/>
          <w:szCs w:val="20"/>
        </w:rPr>
      </w:pPr>
      <w:r w:rsidRPr="00B564A2">
        <w:rPr>
          <w:rFonts w:ascii="Arial Narrow" w:hAnsi="Arial Narrow"/>
          <w:sz w:val="20"/>
          <w:szCs w:val="20"/>
        </w:rPr>
        <w:t xml:space="preserve">En la propuesta actual del capítulo </w:t>
      </w:r>
      <w:r>
        <w:rPr>
          <w:rFonts w:ascii="Arial Narrow" w:hAnsi="Arial Narrow"/>
          <w:sz w:val="20"/>
          <w:szCs w:val="20"/>
        </w:rPr>
        <w:t xml:space="preserve">MSyF </w:t>
      </w:r>
      <w:r w:rsidRPr="00B564A2">
        <w:rPr>
          <w:rFonts w:ascii="Arial Narrow" w:hAnsi="Arial Narrow"/>
          <w:sz w:val="20"/>
          <w:szCs w:val="20"/>
        </w:rPr>
        <w:t xml:space="preserve">de la Comisión, no hay ninguna causa de acción que obligue a la Comisión Europea a demandar a los Estados Unidos por no aprovechar los recursos para verificar el cumplimiento de los Estados Unidos con los requisitos de importación de los Estados Unidos, y mucho menos por no proporcionar los medios reguladores para garantizar el "nivel apropiado de protección sanitaria y fitosanitaria" para los consumidores estadounidenses. </w:t>
      </w:r>
      <w:r>
        <w:rPr>
          <w:rFonts w:ascii="Arial Narrow" w:hAnsi="Arial Narrow"/>
          <w:sz w:val="20"/>
          <w:szCs w:val="20"/>
        </w:rPr>
        <w:t xml:space="preserve">El </w:t>
      </w:r>
      <w:r w:rsidRPr="00B564A2">
        <w:rPr>
          <w:rFonts w:ascii="Arial Narrow" w:hAnsi="Arial Narrow"/>
          <w:sz w:val="20"/>
          <w:szCs w:val="20"/>
        </w:rPr>
        <w:t>TACD hac</w:t>
      </w:r>
      <w:r>
        <w:rPr>
          <w:rFonts w:ascii="Arial Narrow" w:hAnsi="Arial Narrow"/>
          <w:sz w:val="20"/>
          <w:szCs w:val="20"/>
        </w:rPr>
        <w:t>e un llamamiento a los EE. UU.  y a</w:t>
      </w:r>
      <w:r w:rsidRPr="00B564A2">
        <w:rPr>
          <w:rFonts w:ascii="Arial Narrow" w:hAnsi="Arial Narrow"/>
          <w:sz w:val="20"/>
          <w:szCs w:val="20"/>
        </w:rPr>
        <w:t xml:space="preserve"> la UE para garantizar que se asigne un presupuesto y </w:t>
      </w:r>
      <w:r w:rsidRPr="00B564A2">
        <w:rPr>
          <w:rFonts w:ascii="Arial Narrow" w:hAnsi="Arial Narrow"/>
          <w:sz w:val="20"/>
          <w:szCs w:val="20"/>
        </w:rPr>
        <w:lastRenderedPageBreak/>
        <w:t>personal suficientes a los controles oficiales de alimentos a ambos lados del Atlántico. Exigir a las Partes que lleven a cabo una solución de controversias de Estado a Estado para implementar el Artículo 3 propuesto, por ejemplo, sería una forma de garantizar recursos adecuados para realizar el "derecho a proteger".</w:t>
      </w:r>
    </w:p>
    <w:p w14:paraId="5A1E64DC" w14:textId="77777777" w:rsidR="00BF4F6F" w:rsidRPr="00B564A2" w:rsidRDefault="00BF4F6F" w:rsidP="0004171C">
      <w:pPr>
        <w:jc w:val="both"/>
        <w:rPr>
          <w:rFonts w:ascii="Arial Narrow" w:hAnsi="Arial Narrow"/>
          <w:sz w:val="20"/>
          <w:szCs w:val="20"/>
        </w:rPr>
      </w:pPr>
    </w:p>
    <w:p w14:paraId="5B104382" w14:textId="77777777" w:rsidR="00BF4F6F" w:rsidRPr="00366482" w:rsidRDefault="00BF4F6F" w:rsidP="0004171C">
      <w:pPr>
        <w:jc w:val="both"/>
        <w:rPr>
          <w:rFonts w:ascii="Arial Narrow" w:hAnsi="Arial Narrow"/>
          <w:b/>
          <w:sz w:val="20"/>
          <w:szCs w:val="20"/>
        </w:rPr>
      </w:pPr>
      <w:r w:rsidRPr="00366482">
        <w:rPr>
          <w:rFonts w:ascii="Arial Narrow" w:hAnsi="Arial Narrow"/>
          <w:b/>
          <w:sz w:val="20"/>
          <w:szCs w:val="20"/>
        </w:rPr>
        <w:t>Incluyendo el "Comercio de productos de biotecnología moderna" en el TTIP</w:t>
      </w:r>
    </w:p>
    <w:p w14:paraId="19FAA82C" w14:textId="77777777" w:rsidR="00BF4F6F" w:rsidRPr="00B564A2" w:rsidRDefault="00BF4F6F" w:rsidP="0004171C">
      <w:pPr>
        <w:jc w:val="both"/>
        <w:rPr>
          <w:rFonts w:ascii="Arial Narrow" w:hAnsi="Arial Narrow"/>
          <w:sz w:val="20"/>
          <w:szCs w:val="20"/>
        </w:rPr>
      </w:pPr>
    </w:p>
    <w:p w14:paraId="40126093" w14:textId="77777777" w:rsidR="00BF4F6F" w:rsidRPr="00366482" w:rsidRDefault="00BF4F6F" w:rsidP="0004171C">
      <w:pPr>
        <w:jc w:val="both"/>
        <w:rPr>
          <w:rFonts w:ascii="Arial Narrow" w:hAnsi="Arial Narrow"/>
          <w:i/>
          <w:sz w:val="20"/>
          <w:szCs w:val="20"/>
        </w:rPr>
      </w:pPr>
      <w:r w:rsidRPr="00366482">
        <w:rPr>
          <w:rFonts w:ascii="Arial Narrow" w:hAnsi="Arial Narrow"/>
          <w:i/>
          <w:sz w:val="20"/>
          <w:szCs w:val="20"/>
        </w:rPr>
        <w:t>Recomendación</w:t>
      </w:r>
    </w:p>
    <w:p w14:paraId="1C0FB0E9" w14:textId="77777777" w:rsidR="00BF4F6F" w:rsidRDefault="00BF4F6F" w:rsidP="0004171C">
      <w:pPr>
        <w:jc w:val="both"/>
        <w:rPr>
          <w:rFonts w:ascii="Arial Narrow" w:hAnsi="Arial Narrow"/>
          <w:sz w:val="20"/>
          <w:szCs w:val="20"/>
        </w:rPr>
      </w:pPr>
    </w:p>
    <w:p w14:paraId="21029564" w14:textId="71EB6443" w:rsidR="00BF4F6F" w:rsidRDefault="00BF4F6F" w:rsidP="0004171C">
      <w:pPr>
        <w:jc w:val="both"/>
        <w:rPr>
          <w:rFonts w:ascii="Arial Narrow" w:hAnsi="Arial Narrow"/>
          <w:sz w:val="20"/>
          <w:szCs w:val="20"/>
        </w:rPr>
      </w:pPr>
      <w:r>
        <w:rPr>
          <w:rFonts w:ascii="Arial Narrow" w:hAnsi="Arial Narrow"/>
          <w:sz w:val="20"/>
          <w:szCs w:val="20"/>
        </w:rPr>
        <w:t xml:space="preserve">El </w:t>
      </w:r>
      <w:r w:rsidRPr="00B564A2">
        <w:rPr>
          <w:rFonts w:ascii="Arial Narrow" w:hAnsi="Arial Narrow"/>
          <w:sz w:val="20"/>
          <w:szCs w:val="20"/>
        </w:rPr>
        <w:t>TACD no respalda ni ve la necesidad de incluir ninguna disposición específica sobre biotecnología agrícola en el TTIP, ya sea dentro o fuera del capítulo MS</w:t>
      </w:r>
      <w:r>
        <w:rPr>
          <w:rFonts w:ascii="Arial Narrow" w:hAnsi="Arial Narrow"/>
          <w:sz w:val="20"/>
          <w:szCs w:val="20"/>
        </w:rPr>
        <w:t>y</w:t>
      </w:r>
      <w:r w:rsidRPr="00B564A2">
        <w:rPr>
          <w:rFonts w:ascii="Arial Narrow" w:hAnsi="Arial Narrow"/>
          <w:sz w:val="20"/>
          <w:szCs w:val="20"/>
        </w:rPr>
        <w:t xml:space="preserve">F, como es el caso en el texto del TPP, donde la disposición de biotecnología está incluida en el capítulo de acceso a mercados. Según el acuerdo CETA, la UE y Canadá acordaron "cooperar internacionalmente en cuestiones relacionadas con la biotecnología, como la baja presencia de organismos genéticamente modificados" .1 </w:t>
      </w:r>
      <w:r>
        <w:rPr>
          <w:rFonts w:ascii="Arial Narrow" w:hAnsi="Arial Narrow"/>
          <w:sz w:val="20"/>
          <w:szCs w:val="20"/>
        </w:rPr>
        <w:t xml:space="preserve"> El </w:t>
      </w:r>
      <w:r w:rsidRPr="00B564A2">
        <w:rPr>
          <w:rFonts w:ascii="Arial Narrow" w:hAnsi="Arial Narrow"/>
          <w:sz w:val="20"/>
          <w:szCs w:val="20"/>
        </w:rPr>
        <w:t>TACD no admite la inclusión de un lenguaje similar en el TTIP, ya que dicha "cooperación" podría requerir que la UE abandone su política de cero tolerancia con respecto a los OGM no autorizados en los alimentos.</w:t>
      </w:r>
    </w:p>
    <w:p w14:paraId="7B29E063" w14:textId="77777777" w:rsidR="00BF4F6F" w:rsidRPr="00B564A2" w:rsidRDefault="00BF4F6F" w:rsidP="0004171C">
      <w:pPr>
        <w:jc w:val="both"/>
        <w:rPr>
          <w:rFonts w:ascii="Arial Narrow" w:hAnsi="Arial Narrow"/>
          <w:sz w:val="20"/>
          <w:szCs w:val="20"/>
        </w:rPr>
      </w:pPr>
    </w:p>
    <w:p w14:paraId="1092259C" w14:textId="5A1CBF9E" w:rsidR="00BF4F6F" w:rsidRPr="0079341E" w:rsidRDefault="00BF4F6F" w:rsidP="0004171C">
      <w:pPr>
        <w:jc w:val="both"/>
        <w:rPr>
          <w:rFonts w:ascii="Arial Narrow" w:hAnsi="Arial Narrow"/>
          <w:sz w:val="16"/>
          <w:szCs w:val="20"/>
        </w:rPr>
      </w:pPr>
      <w:r w:rsidRPr="00B564A2">
        <w:rPr>
          <w:rFonts w:ascii="Arial Narrow" w:hAnsi="Arial Narrow"/>
          <w:sz w:val="20"/>
          <w:szCs w:val="20"/>
        </w:rPr>
        <w:t xml:space="preserve">Las autoridades competentes de los organismos pertinentes deberían debatir las preocupaciones comerciales o las controversias sobre los productos de la biotecnología agrícola. Poner el comercio de productos derivados de la "biotecnología moderna" en un capítulo de tratamiento nacional y acceso al mercado para bienes es un mal precedente legal que ignora la complejidad científica mucho mayor de los futuros productos a ser regulados y, si </w:t>
      </w:r>
      <w:r>
        <w:rPr>
          <w:rFonts w:ascii="Arial Narrow" w:hAnsi="Arial Narrow"/>
          <w:sz w:val="20"/>
          <w:szCs w:val="20"/>
        </w:rPr>
        <w:t>es apobado por los reguladores</w:t>
      </w:r>
      <w:r w:rsidRPr="00B564A2">
        <w:rPr>
          <w:rFonts w:ascii="Arial Narrow" w:hAnsi="Arial Narrow"/>
          <w:sz w:val="20"/>
          <w:szCs w:val="20"/>
        </w:rPr>
        <w:t>. Además, las demandas de los inversionistas contra los gobiernos, previstas en el Capítulo de Inversión, frecuentemente citaron presuntas omisiones en proporcionar un "estándar mínimo de trato nacional" como causa de acción para las demandas de Solución de Controversias del Estado Inversionista</w:t>
      </w:r>
      <w:r w:rsidR="0079341E">
        <w:rPr>
          <w:rFonts w:ascii="Arial Narrow" w:hAnsi="Arial Narrow"/>
          <w:sz w:val="20"/>
          <w:szCs w:val="20"/>
        </w:rPr>
        <w:t xml:space="preserve"> </w:t>
      </w:r>
      <w:r w:rsidR="0079341E">
        <w:rPr>
          <w:rFonts w:ascii="Arial Narrow" w:hAnsi="Arial Narrow"/>
          <w:sz w:val="16"/>
          <w:szCs w:val="20"/>
        </w:rPr>
        <w:t>(8).</w:t>
      </w:r>
    </w:p>
    <w:p w14:paraId="51B99E06" w14:textId="77777777" w:rsidR="00BF4F6F" w:rsidRPr="00B564A2" w:rsidRDefault="00BF4F6F" w:rsidP="0004171C">
      <w:pPr>
        <w:jc w:val="both"/>
        <w:rPr>
          <w:rFonts w:ascii="Arial Narrow" w:hAnsi="Arial Narrow"/>
          <w:sz w:val="20"/>
          <w:szCs w:val="20"/>
        </w:rPr>
      </w:pPr>
    </w:p>
    <w:p w14:paraId="58F0298A" w14:textId="77777777" w:rsidR="00BF4F6F" w:rsidRPr="00FB2B89" w:rsidRDefault="00BF4F6F" w:rsidP="0004171C">
      <w:pPr>
        <w:jc w:val="both"/>
        <w:rPr>
          <w:rFonts w:ascii="Arial Narrow" w:hAnsi="Arial Narrow"/>
          <w:i/>
          <w:sz w:val="20"/>
          <w:szCs w:val="20"/>
        </w:rPr>
      </w:pPr>
      <w:r w:rsidRPr="00FB2B89">
        <w:rPr>
          <w:rFonts w:ascii="Arial Narrow" w:hAnsi="Arial Narrow"/>
          <w:i/>
          <w:sz w:val="20"/>
          <w:szCs w:val="20"/>
        </w:rPr>
        <w:t>Antecedente</w:t>
      </w:r>
      <w:r>
        <w:rPr>
          <w:rFonts w:ascii="Arial Narrow" w:hAnsi="Arial Narrow"/>
          <w:i/>
          <w:sz w:val="20"/>
          <w:szCs w:val="20"/>
        </w:rPr>
        <w:t>s</w:t>
      </w:r>
      <w:r w:rsidRPr="00FB2B89">
        <w:rPr>
          <w:rFonts w:ascii="Arial Narrow" w:hAnsi="Arial Narrow"/>
          <w:i/>
          <w:sz w:val="20"/>
          <w:szCs w:val="20"/>
        </w:rPr>
        <w:t xml:space="preserve"> </w:t>
      </w:r>
    </w:p>
    <w:p w14:paraId="1076796A" w14:textId="77777777" w:rsidR="00BF4F6F" w:rsidRPr="00B564A2" w:rsidRDefault="00BF4F6F" w:rsidP="0004171C">
      <w:pPr>
        <w:jc w:val="both"/>
        <w:rPr>
          <w:rFonts w:ascii="Arial Narrow" w:hAnsi="Arial Narrow"/>
          <w:sz w:val="20"/>
          <w:szCs w:val="20"/>
        </w:rPr>
      </w:pPr>
    </w:p>
    <w:p w14:paraId="2C1C88AA" w14:textId="3663D04C" w:rsidR="00BF4F6F" w:rsidRPr="00B564A2" w:rsidRDefault="00BF4F6F" w:rsidP="0004171C">
      <w:pPr>
        <w:jc w:val="both"/>
        <w:rPr>
          <w:rFonts w:ascii="Arial Narrow" w:hAnsi="Arial Narrow"/>
          <w:sz w:val="20"/>
          <w:szCs w:val="20"/>
        </w:rPr>
      </w:pPr>
      <w:r w:rsidRPr="00B564A2">
        <w:rPr>
          <w:rFonts w:ascii="Arial Narrow" w:hAnsi="Arial Narrow"/>
          <w:sz w:val="20"/>
          <w:szCs w:val="20"/>
        </w:rPr>
        <w:t xml:space="preserve">En el "Comercio de productos de biotecnología moderna" </w:t>
      </w:r>
      <w:r>
        <w:rPr>
          <w:rFonts w:ascii="Arial Narrow" w:hAnsi="Arial Narrow"/>
          <w:sz w:val="20"/>
          <w:szCs w:val="20"/>
        </w:rPr>
        <w:t xml:space="preserve">del </w:t>
      </w:r>
      <w:r w:rsidRPr="00B564A2">
        <w:rPr>
          <w:rFonts w:ascii="Arial Narrow" w:hAnsi="Arial Narrow"/>
          <w:sz w:val="20"/>
          <w:szCs w:val="20"/>
        </w:rPr>
        <w:t>TPP, (Artículo 2.29) se encuentra en el Capítulo 2, "Trato nacional y acceso a bienes de mercado", de modo que las controversias sobre la "presencia de bajo nivel" de OGM no autorizados p</w:t>
      </w:r>
      <w:r>
        <w:rPr>
          <w:rFonts w:ascii="Arial Narrow" w:hAnsi="Arial Narrow"/>
          <w:sz w:val="20"/>
          <w:szCs w:val="20"/>
        </w:rPr>
        <w:t xml:space="preserve">or </w:t>
      </w:r>
      <w:r w:rsidRPr="00B564A2">
        <w:rPr>
          <w:rFonts w:ascii="Arial Narrow" w:hAnsi="Arial Narrow"/>
          <w:sz w:val="20"/>
          <w:szCs w:val="20"/>
        </w:rPr>
        <w:t>la importación serían juzgados con base en criterios de acceso al mercado</w:t>
      </w:r>
      <w:r>
        <w:rPr>
          <w:rFonts w:ascii="Arial Narrow" w:hAnsi="Arial Narrow"/>
          <w:sz w:val="20"/>
          <w:szCs w:val="20"/>
        </w:rPr>
        <w:t xml:space="preserve"> </w:t>
      </w:r>
      <w:r w:rsidR="0079341E">
        <w:rPr>
          <w:rFonts w:ascii="Arial Narrow" w:hAnsi="Arial Narrow"/>
          <w:sz w:val="16"/>
          <w:szCs w:val="20"/>
        </w:rPr>
        <w:t>(9)</w:t>
      </w:r>
      <w:r w:rsidRPr="00B564A2">
        <w:rPr>
          <w:rFonts w:ascii="Arial Narrow" w:hAnsi="Arial Narrow"/>
          <w:sz w:val="20"/>
          <w:szCs w:val="20"/>
        </w:rPr>
        <w:t xml:space="preserve"> en lugar de evaluaciones de riesgo de su seguridad para la salud humana o el medio ambiente. La cantidad de "presencia de bajo nivel" no está definida en el TPP, y presumiblemente se negociará bilateralmente a través del Comité de Productos Agrícolas del TPP. En el texto del CETA, el tema de una "presencia de bajo nivel" de OGM y una cooperación en el campo de la biotecnología se aborda en el capítulo 29 sobre "diálogo y cooperación bilateral" (Art. X.03)</w:t>
      </w:r>
    </w:p>
    <w:p w14:paraId="5DB39B3A" w14:textId="77777777" w:rsidR="00BF4F6F" w:rsidRPr="00B564A2" w:rsidRDefault="00BF4F6F" w:rsidP="0004171C">
      <w:pPr>
        <w:jc w:val="both"/>
        <w:rPr>
          <w:rFonts w:ascii="Arial Narrow" w:hAnsi="Arial Narrow"/>
          <w:sz w:val="20"/>
          <w:szCs w:val="20"/>
        </w:rPr>
      </w:pPr>
    </w:p>
    <w:p w14:paraId="4E56E61F" w14:textId="77777777" w:rsidR="00BF4F6F" w:rsidRDefault="00BF4F6F" w:rsidP="0004171C">
      <w:pPr>
        <w:jc w:val="both"/>
        <w:rPr>
          <w:rFonts w:ascii="Arial Narrow" w:hAnsi="Arial Narrow"/>
          <w:sz w:val="20"/>
          <w:szCs w:val="20"/>
        </w:rPr>
      </w:pPr>
    </w:p>
    <w:p w14:paraId="76C71C3C" w14:textId="7D0EE6FB" w:rsidR="00BF4F6F" w:rsidRPr="00366482" w:rsidRDefault="00BF4F6F" w:rsidP="0004171C">
      <w:pPr>
        <w:jc w:val="both"/>
        <w:rPr>
          <w:rFonts w:ascii="Arial Narrow" w:hAnsi="Arial Narrow"/>
          <w:sz w:val="20"/>
          <w:szCs w:val="20"/>
        </w:rPr>
      </w:pPr>
      <w:r w:rsidRPr="00366482">
        <w:rPr>
          <w:rFonts w:ascii="Arial Narrow" w:hAnsi="Arial Narrow"/>
          <w:sz w:val="20"/>
          <w:szCs w:val="20"/>
        </w:rPr>
        <w:t>No es improbable que la futura desregulación de alimentos y productos agrícolas derivados de las técnicas de edición de genes mucho más poderosas y complejas de la biología sintética plantee problemas de salud humana y ambiental</w:t>
      </w:r>
      <w:r w:rsidR="0079341E">
        <w:rPr>
          <w:rFonts w:ascii="Arial Narrow" w:hAnsi="Arial Narrow"/>
          <w:sz w:val="20"/>
          <w:szCs w:val="20"/>
        </w:rPr>
        <w:t xml:space="preserve"> </w:t>
      </w:r>
      <w:r w:rsidR="0079341E">
        <w:rPr>
          <w:rFonts w:ascii="Arial Narrow" w:hAnsi="Arial Narrow"/>
          <w:sz w:val="16"/>
          <w:szCs w:val="20"/>
        </w:rPr>
        <w:t>(10).</w:t>
      </w:r>
      <w:r w:rsidRPr="00366482">
        <w:rPr>
          <w:rFonts w:ascii="Arial Narrow" w:hAnsi="Arial Narrow"/>
          <w:sz w:val="20"/>
          <w:szCs w:val="20"/>
        </w:rPr>
        <w:t xml:space="preserve"> De acuerdo con un equipo de investigación, "la biología sintética y otras nuevas técnicas de ingeniería genética probablemente llevarán a un aumento en el número de plantas genéticamente modificadas que no estarán sujetas a revisión por el USDA [EE.UU. Departamento de Agricultura], lo que posiblemente resulte en el cultivo de plantas genéticamente modificadas para pruebas de campo y producción comercial sin una revisión regulatoria previa por posibles problemas ambientales o de seguridad</w:t>
      </w:r>
      <w:r w:rsidR="0045737B">
        <w:rPr>
          <w:rFonts w:ascii="Arial Narrow" w:hAnsi="Arial Narrow"/>
          <w:sz w:val="20"/>
          <w:szCs w:val="20"/>
        </w:rPr>
        <w:t xml:space="preserve">” </w:t>
      </w:r>
      <w:r w:rsidR="0045737B">
        <w:rPr>
          <w:rFonts w:ascii="Arial Narrow" w:hAnsi="Arial Narrow"/>
          <w:sz w:val="16"/>
          <w:szCs w:val="20"/>
        </w:rPr>
        <w:t>(11).</w:t>
      </w:r>
      <w:r w:rsidRPr="00366482">
        <w:rPr>
          <w:rFonts w:ascii="Arial Narrow" w:hAnsi="Arial Narrow"/>
          <w:sz w:val="20"/>
          <w:szCs w:val="20"/>
        </w:rPr>
        <w:t xml:space="preserve"> En la Unión Europea, mientras tanto, la cuestión de si estas nuevas técnicas caen o no bajo el Reglamento OGM pertinente todavía se debate acaloradamente. Si el TTIP permitiera el comercio de productos de biología sintética, siguiendo el enfoque del Artículo 2.29, es cuestionable si las autoridades competentes de la Comisión de la UE y Estados Unidos podrían proporcionar "el nivel apropiado de protección sanitaria y fitosanitaria".</w:t>
      </w:r>
    </w:p>
    <w:p w14:paraId="4F9315FE" w14:textId="77777777" w:rsidR="00BF4F6F" w:rsidRPr="00366482" w:rsidRDefault="00BF4F6F" w:rsidP="0004171C">
      <w:pPr>
        <w:jc w:val="both"/>
        <w:rPr>
          <w:rFonts w:ascii="Arial Narrow" w:hAnsi="Arial Narrow"/>
          <w:sz w:val="20"/>
          <w:szCs w:val="20"/>
        </w:rPr>
      </w:pPr>
    </w:p>
    <w:p w14:paraId="58BF9633" w14:textId="061FA23F" w:rsidR="00BF4F6F" w:rsidRDefault="00BF4F6F" w:rsidP="0004171C">
      <w:pPr>
        <w:jc w:val="both"/>
        <w:rPr>
          <w:rFonts w:ascii="Arial Narrow" w:hAnsi="Arial Narrow"/>
          <w:sz w:val="20"/>
          <w:szCs w:val="20"/>
        </w:rPr>
      </w:pPr>
      <w:r w:rsidRPr="00366482">
        <w:rPr>
          <w:rFonts w:ascii="Arial Narrow" w:hAnsi="Arial Narrow"/>
          <w:sz w:val="20"/>
          <w:szCs w:val="20"/>
        </w:rPr>
        <w:t xml:space="preserve">Con respecto al tema de "presencia de bajo nivel", tres comités científicos ya informaron a la Comisión Europea que no existen barreras de contención </w:t>
      </w:r>
      <w:r>
        <w:rPr>
          <w:rFonts w:ascii="Arial Narrow" w:hAnsi="Arial Narrow"/>
          <w:sz w:val="20"/>
          <w:szCs w:val="20"/>
        </w:rPr>
        <w:t>biológica confiables contra la T</w:t>
      </w:r>
      <w:r w:rsidRPr="00366482">
        <w:rPr>
          <w:rFonts w:ascii="Arial Narrow" w:hAnsi="Arial Narrow"/>
          <w:sz w:val="20"/>
          <w:szCs w:val="20"/>
        </w:rPr>
        <w:t>ransf</w:t>
      </w:r>
      <w:r>
        <w:rPr>
          <w:rFonts w:ascii="Arial Narrow" w:hAnsi="Arial Narrow"/>
          <w:sz w:val="20"/>
          <w:szCs w:val="20"/>
        </w:rPr>
        <w:t>erencia Horizontal de Genes (HGT) de Organismos Modificados S</w:t>
      </w:r>
      <w:r w:rsidRPr="00366482">
        <w:rPr>
          <w:rFonts w:ascii="Arial Narrow" w:hAnsi="Arial Narrow"/>
          <w:sz w:val="20"/>
          <w:szCs w:val="20"/>
        </w:rPr>
        <w:t xml:space="preserve">intéticamente (SMO) </w:t>
      </w:r>
      <w:r w:rsidR="0045737B">
        <w:rPr>
          <w:rFonts w:ascii="Arial Narrow" w:hAnsi="Arial Narrow"/>
          <w:sz w:val="16"/>
          <w:szCs w:val="20"/>
        </w:rPr>
        <w:t>(12).</w:t>
      </w:r>
      <w:r w:rsidRPr="00366482">
        <w:rPr>
          <w:rFonts w:ascii="Arial Narrow" w:hAnsi="Arial Narrow"/>
          <w:sz w:val="20"/>
          <w:szCs w:val="20"/>
        </w:rPr>
        <w:t xml:space="preserve"> Como resultado, </w:t>
      </w:r>
      <w:r>
        <w:rPr>
          <w:rFonts w:ascii="Arial Narrow" w:hAnsi="Arial Narrow"/>
          <w:sz w:val="20"/>
          <w:szCs w:val="20"/>
        </w:rPr>
        <w:t xml:space="preserve">la secuencia de </w:t>
      </w:r>
      <w:r w:rsidRPr="00366482">
        <w:rPr>
          <w:rFonts w:ascii="Arial Narrow" w:hAnsi="Arial Narrow"/>
          <w:sz w:val="20"/>
          <w:szCs w:val="20"/>
        </w:rPr>
        <w:t xml:space="preserve">HGT de nuevos ADN y ARN para plantas agrícolas y silvestres de productos desregulados de biología sintética vegetal son una certeza en el futuro previsible, como lo es la presencia de SMO "de bajo nivel" en productos desregulados. Si las SMO se convirtieran en una especie invasora, la parte importadora podría aplicar el artículo sobre "medidas de emergencia" (artículo 16), pero en ese momento la medida reglamentaria tendría lugar solo después de que se hubiera producido el daño, la antítesis de la forma en que El Principio de Precaución debe ser </w:t>
      </w:r>
      <w:r>
        <w:rPr>
          <w:rFonts w:ascii="Arial Narrow" w:hAnsi="Arial Narrow"/>
          <w:sz w:val="20"/>
          <w:szCs w:val="20"/>
        </w:rPr>
        <w:t xml:space="preserve">aplicado u </w:t>
      </w:r>
      <w:r w:rsidRPr="00366482">
        <w:rPr>
          <w:rFonts w:ascii="Arial Narrow" w:hAnsi="Arial Narrow"/>
          <w:sz w:val="20"/>
          <w:szCs w:val="20"/>
        </w:rPr>
        <w:t>opera</w:t>
      </w:r>
      <w:r>
        <w:rPr>
          <w:rFonts w:ascii="Arial Narrow" w:hAnsi="Arial Narrow"/>
          <w:sz w:val="20"/>
          <w:szCs w:val="20"/>
        </w:rPr>
        <w:t xml:space="preserve">do. </w:t>
      </w:r>
    </w:p>
    <w:p w14:paraId="48F21611" w14:textId="77777777" w:rsidR="00BF4F6F" w:rsidRDefault="00BF4F6F" w:rsidP="0004171C">
      <w:pPr>
        <w:jc w:val="both"/>
        <w:rPr>
          <w:rFonts w:ascii="Arial Narrow" w:hAnsi="Arial Narrow"/>
          <w:sz w:val="20"/>
          <w:szCs w:val="20"/>
        </w:rPr>
      </w:pPr>
    </w:p>
    <w:p w14:paraId="0A456777" w14:textId="77777777" w:rsidR="00BF4F6F" w:rsidRPr="00366482" w:rsidRDefault="00BF4F6F" w:rsidP="0004171C">
      <w:pPr>
        <w:jc w:val="both"/>
        <w:rPr>
          <w:rFonts w:ascii="Arial Narrow" w:hAnsi="Arial Narrow"/>
          <w:b/>
          <w:sz w:val="20"/>
          <w:szCs w:val="20"/>
        </w:rPr>
      </w:pPr>
      <w:r w:rsidRPr="00366482">
        <w:rPr>
          <w:rFonts w:ascii="Arial Narrow" w:hAnsi="Arial Narrow"/>
          <w:b/>
          <w:sz w:val="20"/>
          <w:szCs w:val="20"/>
        </w:rPr>
        <w:t xml:space="preserve">Auditorías, verificación, certificación de instalaciones y controles de importación: </w:t>
      </w:r>
      <w:r>
        <w:rPr>
          <w:rFonts w:ascii="Arial Narrow" w:hAnsi="Arial Narrow"/>
          <w:b/>
          <w:sz w:val="20"/>
          <w:szCs w:val="20"/>
        </w:rPr>
        <w:t xml:space="preserve">se superponen a MSyF </w:t>
      </w:r>
      <w:r w:rsidRPr="00366482">
        <w:rPr>
          <w:rFonts w:ascii="Arial Narrow" w:hAnsi="Arial Narrow"/>
          <w:b/>
          <w:sz w:val="20"/>
          <w:szCs w:val="20"/>
        </w:rPr>
        <w:t>que son para proteger a los consumidores</w:t>
      </w:r>
    </w:p>
    <w:p w14:paraId="239EF92E" w14:textId="77777777" w:rsidR="00BF4F6F" w:rsidRPr="00366482" w:rsidRDefault="00BF4F6F" w:rsidP="0004171C">
      <w:pPr>
        <w:jc w:val="both"/>
        <w:rPr>
          <w:rFonts w:ascii="Arial Narrow" w:hAnsi="Arial Narrow"/>
          <w:sz w:val="20"/>
          <w:szCs w:val="20"/>
        </w:rPr>
      </w:pPr>
    </w:p>
    <w:p w14:paraId="24CA0EFD" w14:textId="77777777" w:rsidR="00BF4F6F" w:rsidRPr="00FB2B89" w:rsidRDefault="00BF4F6F" w:rsidP="0004171C">
      <w:pPr>
        <w:jc w:val="both"/>
        <w:rPr>
          <w:rFonts w:ascii="Arial Narrow" w:hAnsi="Arial Narrow"/>
          <w:i/>
          <w:sz w:val="20"/>
          <w:szCs w:val="20"/>
        </w:rPr>
      </w:pPr>
      <w:r w:rsidRPr="00FB2B89">
        <w:rPr>
          <w:rFonts w:ascii="Arial Narrow" w:hAnsi="Arial Narrow"/>
          <w:i/>
          <w:sz w:val="20"/>
          <w:szCs w:val="20"/>
        </w:rPr>
        <w:t>Recomendación</w:t>
      </w:r>
    </w:p>
    <w:p w14:paraId="76ADB901" w14:textId="77777777" w:rsidR="00BF4F6F" w:rsidRPr="00366482" w:rsidRDefault="00BF4F6F" w:rsidP="0004171C">
      <w:pPr>
        <w:jc w:val="both"/>
        <w:rPr>
          <w:rFonts w:ascii="Arial Narrow" w:hAnsi="Arial Narrow"/>
          <w:sz w:val="20"/>
          <w:szCs w:val="20"/>
        </w:rPr>
      </w:pPr>
    </w:p>
    <w:p w14:paraId="019F44F1" w14:textId="77777777" w:rsidR="00BF4F6F" w:rsidRPr="00366482" w:rsidRDefault="00BF4F6F" w:rsidP="0004171C">
      <w:pPr>
        <w:jc w:val="both"/>
        <w:rPr>
          <w:rFonts w:ascii="Arial Narrow" w:hAnsi="Arial Narrow"/>
          <w:sz w:val="20"/>
          <w:szCs w:val="20"/>
        </w:rPr>
      </w:pPr>
      <w:r w:rsidRPr="00366482">
        <w:rPr>
          <w:rFonts w:ascii="Arial Narrow" w:hAnsi="Arial Narrow"/>
          <w:sz w:val="20"/>
          <w:szCs w:val="20"/>
        </w:rPr>
        <w:t xml:space="preserve">Cada Parte será libre de verificar, mediante auditorías periódicas, incluidas auditorías </w:t>
      </w:r>
      <w:r>
        <w:rPr>
          <w:rFonts w:ascii="Arial Narrow" w:hAnsi="Arial Narrow"/>
          <w:sz w:val="20"/>
          <w:szCs w:val="20"/>
        </w:rPr>
        <w:t xml:space="preserve">no anuanciadas en </w:t>
      </w:r>
      <w:r w:rsidRPr="00366482">
        <w:rPr>
          <w:rFonts w:ascii="Arial Narrow" w:hAnsi="Arial Narrow"/>
          <w:sz w:val="20"/>
          <w:szCs w:val="20"/>
        </w:rPr>
        <w:t>instalaciones y controles de importación, que los alimentos exportados por la otra Parte cumplen efectivamente sus requisitos de importación (los artículos 11 y 13 propuestos por la UE). Dado que las tasas de frecuencia de los controles de importación deben establecerse en un anexo del capítulo MS</w:t>
      </w:r>
      <w:r>
        <w:rPr>
          <w:rFonts w:ascii="Arial Narrow" w:hAnsi="Arial Narrow"/>
          <w:sz w:val="20"/>
          <w:szCs w:val="20"/>
        </w:rPr>
        <w:t>y</w:t>
      </w:r>
      <w:r w:rsidRPr="00366482">
        <w:rPr>
          <w:rFonts w:ascii="Arial Narrow" w:hAnsi="Arial Narrow"/>
          <w:sz w:val="20"/>
          <w:szCs w:val="20"/>
        </w:rPr>
        <w:t>F, dichos anexos deben ponerse a disposición del público, incluidas las organizaciones de la sociedad civil, para verificar que los controles de importación y las auditorías de instalaciones sean adecuados para realizar el</w:t>
      </w:r>
      <w:r>
        <w:rPr>
          <w:rFonts w:ascii="Arial Narrow" w:hAnsi="Arial Narrow"/>
          <w:sz w:val="20"/>
          <w:szCs w:val="20"/>
        </w:rPr>
        <w:t xml:space="preserve"> "derecho" de los gobiernos, </w:t>
      </w:r>
      <w:r w:rsidRPr="00366482">
        <w:rPr>
          <w:rFonts w:ascii="Arial Narrow" w:hAnsi="Arial Narrow"/>
          <w:sz w:val="20"/>
          <w:szCs w:val="20"/>
        </w:rPr>
        <w:t>a proteger a "sus consumidores".</w:t>
      </w:r>
    </w:p>
    <w:p w14:paraId="5624827A" w14:textId="77777777" w:rsidR="00BF4F6F" w:rsidRPr="00366482" w:rsidRDefault="00BF4F6F" w:rsidP="0004171C">
      <w:pPr>
        <w:jc w:val="both"/>
        <w:rPr>
          <w:rFonts w:ascii="Arial Narrow" w:hAnsi="Arial Narrow"/>
          <w:sz w:val="20"/>
          <w:szCs w:val="20"/>
        </w:rPr>
      </w:pPr>
    </w:p>
    <w:p w14:paraId="51AE739D" w14:textId="77777777" w:rsidR="00BF4F6F" w:rsidRPr="00366482" w:rsidRDefault="00BF4F6F" w:rsidP="0004171C">
      <w:pPr>
        <w:jc w:val="both"/>
        <w:rPr>
          <w:rFonts w:ascii="Arial Narrow" w:hAnsi="Arial Narrow"/>
          <w:sz w:val="20"/>
          <w:szCs w:val="20"/>
        </w:rPr>
      </w:pPr>
      <w:r>
        <w:rPr>
          <w:rFonts w:ascii="Arial Narrow" w:hAnsi="Arial Narrow"/>
          <w:sz w:val="20"/>
          <w:szCs w:val="20"/>
        </w:rPr>
        <w:t xml:space="preserve">El </w:t>
      </w:r>
      <w:r w:rsidRPr="00366482">
        <w:rPr>
          <w:rFonts w:ascii="Arial Narrow" w:hAnsi="Arial Narrow"/>
          <w:sz w:val="20"/>
          <w:szCs w:val="20"/>
        </w:rPr>
        <w:t xml:space="preserve">TACD recomienda que el capítulo </w:t>
      </w:r>
      <w:r>
        <w:rPr>
          <w:rFonts w:ascii="Arial Narrow" w:hAnsi="Arial Narrow"/>
          <w:sz w:val="20"/>
          <w:szCs w:val="20"/>
        </w:rPr>
        <w:t xml:space="preserve">MSyF del </w:t>
      </w:r>
      <w:r w:rsidRPr="00366482">
        <w:rPr>
          <w:rFonts w:ascii="Arial Narrow" w:hAnsi="Arial Narrow"/>
          <w:sz w:val="20"/>
          <w:szCs w:val="20"/>
        </w:rPr>
        <w:t xml:space="preserve">TTIP incluya un artículo que estipule los criterios para otorgar el </w:t>
      </w:r>
      <w:r>
        <w:rPr>
          <w:rFonts w:ascii="Arial Narrow" w:hAnsi="Arial Narrow"/>
          <w:sz w:val="20"/>
          <w:szCs w:val="20"/>
        </w:rPr>
        <w:t xml:space="preserve">status </w:t>
      </w:r>
      <w:r w:rsidRPr="00366482">
        <w:rPr>
          <w:rFonts w:ascii="Arial Narrow" w:hAnsi="Arial Narrow"/>
          <w:sz w:val="20"/>
          <w:szCs w:val="20"/>
        </w:rPr>
        <w:t xml:space="preserve">previo al despacho y para revocar ese </w:t>
      </w:r>
      <w:r>
        <w:rPr>
          <w:rFonts w:ascii="Arial Narrow" w:hAnsi="Arial Narrow"/>
          <w:sz w:val="20"/>
          <w:szCs w:val="20"/>
        </w:rPr>
        <w:t>status</w:t>
      </w:r>
      <w:r w:rsidRPr="00366482">
        <w:rPr>
          <w:rFonts w:ascii="Arial Narrow" w:hAnsi="Arial Narrow"/>
          <w:sz w:val="20"/>
          <w:szCs w:val="20"/>
        </w:rPr>
        <w:t>. Los productos considerados por las autoridades competentes como de alto riesgo de contaminación microbiológica, como la carne y los productos del mar, no serían elegibles para el estado de preautorización. El artículo 7 sobre facilitación del comercio debe incluir una disposición que permita a las autoridades competentes aplicar medidas de control permanentes para los productos autorizados a entrar en el comercio sobre la base de estudios y datos no públicos e inéditos presentados por los solicitantes de comercialización. El Artículo 11.9 debería modificarse para que diga: "Ambas Partes publicarán los resultados y conclusiones de sus procedimientos de verificación" para aumentar la transparencia en la auditoría de los sistemas de control del gobierno y de los programas en los que los gobiernos han delegado sus autoridades a los operadores de alimentos y instalaciones agrícolas, ya sea de hecho o de derecho.</w:t>
      </w:r>
    </w:p>
    <w:p w14:paraId="2C96258E" w14:textId="77777777" w:rsidR="00BF4F6F" w:rsidRPr="00366482" w:rsidRDefault="00BF4F6F" w:rsidP="0004171C">
      <w:pPr>
        <w:jc w:val="both"/>
        <w:rPr>
          <w:rFonts w:ascii="Arial Narrow" w:hAnsi="Arial Narrow"/>
          <w:sz w:val="20"/>
          <w:szCs w:val="20"/>
        </w:rPr>
      </w:pPr>
    </w:p>
    <w:p w14:paraId="172B720F" w14:textId="77777777" w:rsidR="00BF4F6F" w:rsidRPr="00FB2B89" w:rsidRDefault="00BF4F6F" w:rsidP="0004171C">
      <w:pPr>
        <w:jc w:val="both"/>
        <w:rPr>
          <w:rFonts w:ascii="Arial Narrow" w:hAnsi="Arial Narrow"/>
          <w:i/>
          <w:sz w:val="20"/>
          <w:szCs w:val="20"/>
        </w:rPr>
      </w:pPr>
      <w:r w:rsidRPr="00FB2B89">
        <w:rPr>
          <w:rFonts w:ascii="Arial Narrow" w:hAnsi="Arial Narrow"/>
          <w:i/>
          <w:sz w:val="20"/>
          <w:szCs w:val="20"/>
        </w:rPr>
        <w:t xml:space="preserve">Antecedentes </w:t>
      </w:r>
    </w:p>
    <w:p w14:paraId="78C36923" w14:textId="77777777" w:rsidR="00BF4F6F" w:rsidRPr="00366482" w:rsidRDefault="00BF4F6F" w:rsidP="0004171C">
      <w:pPr>
        <w:jc w:val="both"/>
        <w:rPr>
          <w:rFonts w:ascii="Arial Narrow" w:hAnsi="Arial Narrow"/>
          <w:sz w:val="20"/>
          <w:szCs w:val="20"/>
        </w:rPr>
      </w:pPr>
    </w:p>
    <w:p w14:paraId="7BA54CB0" w14:textId="572CFD2A" w:rsidR="00BF4F6F" w:rsidRPr="0045737B" w:rsidRDefault="00BF4F6F" w:rsidP="0004171C">
      <w:pPr>
        <w:jc w:val="both"/>
        <w:rPr>
          <w:rFonts w:ascii="Arial Narrow" w:hAnsi="Arial Narrow"/>
          <w:sz w:val="16"/>
          <w:szCs w:val="20"/>
        </w:rPr>
      </w:pPr>
      <w:r w:rsidRPr="00366482">
        <w:rPr>
          <w:rFonts w:ascii="Arial Narrow" w:hAnsi="Arial Narrow"/>
          <w:sz w:val="20"/>
          <w:szCs w:val="20"/>
        </w:rPr>
        <w:t>La realización del "nivel apropiado de protección sanitaria y fitosanitaria" requiere capas múltiples y superpuestas de medidas sanitarias y fitosanitarias desde la granja hasta la mesa. La aplicación de medidas sanitarias y fitosanitarias se reduciría en los programas de "</w:t>
      </w:r>
      <w:r w:rsidR="00964160" w:rsidRPr="00366482">
        <w:rPr>
          <w:rFonts w:ascii="Arial Narrow" w:hAnsi="Arial Narrow"/>
          <w:sz w:val="20"/>
          <w:szCs w:val="20"/>
        </w:rPr>
        <w:t>pre autorización</w:t>
      </w:r>
      <w:r w:rsidRPr="00366482">
        <w:rPr>
          <w:rFonts w:ascii="Arial Narrow" w:hAnsi="Arial Narrow"/>
          <w:sz w:val="20"/>
          <w:szCs w:val="20"/>
        </w:rPr>
        <w:t xml:space="preserve">", en los que la </w:t>
      </w:r>
      <w:r w:rsidR="00964160" w:rsidRPr="00366482">
        <w:rPr>
          <w:rFonts w:ascii="Arial Narrow" w:hAnsi="Arial Narrow"/>
          <w:sz w:val="20"/>
          <w:szCs w:val="20"/>
        </w:rPr>
        <w:t>re inspección</w:t>
      </w:r>
      <w:r w:rsidRPr="00366482">
        <w:rPr>
          <w:rFonts w:ascii="Arial Narrow" w:hAnsi="Arial Narrow"/>
          <w:sz w:val="20"/>
          <w:szCs w:val="20"/>
        </w:rPr>
        <w:t xml:space="preserve"> y el examen de los productos alimenticios y agrícolas en el puerto de entrada solo se permitirían "en casos excepcionales" (artículo 7.12 a propuesto por la UE). Los grupos de consumidores estadounidenses han sido críticos con los programas de </w:t>
      </w:r>
      <w:r w:rsidR="00964160" w:rsidRPr="00366482">
        <w:rPr>
          <w:rFonts w:ascii="Arial Narrow" w:hAnsi="Arial Narrow"/>
          <w:sz w:val="20"/>
          <w:szCs w:val="20"/>
        </w:rPr>
        <w:t>pre embarque</w:t>
      </w:r>
      <w:r w:rsidRPr="00366482">
        <w:rPr>
          <w:rFonts w:ascii="Arial Narrow" w:hAnsi="Arial Narrow"/>
          <w:sz w:val="20"/>
          <w:szCs w:val="20"/>
        </w:rPr>
        <w:t xml:space="preserve"> del Departam</w:t>
      </w:r>
      <w:r>
        <w:rPr>
          <w:rFonts w:ascii="Arial Narrow" w:hAnsi="Arial Narrow"/>
          <w:sz w:val="20"/>
          <w:szCs w:val="20"/>
        </w:rPr>
        <w:t>ento de Agricultura de EE. UU. p</w:t>
      </w:r>
      <w:r w:rsidRPr="00366482">
        <w:rPr>
          <w:rFonts w:ascii="Arial Narrow" w:hAnsi="Arial Narrow"/>
          <w:sz w:val="20"/>
          <w:szCs w:val="20"/>
        </w:rPr>
        <w:t xml:space="preserve">ara la importación de carne, </w:t>
      </w:r>
      <w:r>
        <w:rPr>
          <w:rFonts w:ascii="Arial Narrow" w:hAnsi="Arial Narrow"/>
          <w:sz w:val="20"/>
          <w:szCs w:val="20"/>
        </w:rPr>
        <w:t xml:space="preserve">pues </w:t>
      </w:r>
      <w:r w:rsidRPr="00366482">
        <w:rPr>
          <w:rFonts w:ascii="Arial Narrow" w:hAnsi="Arial Narrow"/>
          <w:sz w:val="20"/>
          <w:szCs w:val="20"/>
        </w:rPr>
        <w:t xml:space="preserve">impide la </w:t>
      </w:r>
      <w:r w:rsidR="00964160" w:rsidRPr="00366482">
        <w:rPr>
          <w:rFonts w:ascii="Arial Narrow" w:hAnsi="Arial Narrow"/>
          <w:sz w:val="20"/>
          <w:szCs w:val="20"/>
        </w:rPr>
        <w:t>re inspección</w:t>
      </w:r>
      <w:r w:rsidRPr="00366482">
        <w:rPr>
          <w:rFonts w:ascii="Arial Narrow" w:hAnsi="Arial Narrow"/>
          <w:sz w:val="20"/>
          <w:szCs w:val="20"/>
        </w:rPr>
        <w:t xml:space="preserve"> y prueba de los puertos de entrada, una herramienta tradicional de gestión de la seguridad alimentaria</w:t>
      </w:r>
      <w:r w:rsidR="0045737B">
        <w:rPr>
          <w:rFonts w:ascii="Arial Narrow" w:hAnsi="Arial Narrow"/>
          <w:sz w:val="20"/>
          <w:szCs w:val="20"/>
        </w:rPr>
        <w:t xml:space="preserve"> </w:t>
      </w:r>
      <w:r w:rsidR="0045737B">
        <w:rPr>
          <w:rFonts w:ascii="Arial Narrow" w:hAnsi="Arial Narrow"/>
          <w:sz w:val="16"/>
          <w:szCs w:val="20"/>
        </w:rPr>
        <w:t>(13).</w:t>
      </w:r>
    </w:p>
    <w:p w14:paraId="0F7BE836" w14:textId="77777777" w:rsidR="00BF4F6F" w:rsidRPr="00366482" w:rsidRDefault="00BF4F6F" w:rsidP="0004171C">
      <w:pPr>
        <w:jc w:val="both"/>
        <w:rPr>
          <w:rFonts w:ascii="Arial Narrow" w:hAnsi="Arial Narrow"/>
          <w:sz w:val="20"/>
          <w:szCs w:val="20"/>
        </w:rPr>
      </w:pPr>
    </w:p>
    <w:p w14:paraId="1F88253A" w14:textId="77777777" w:rsidR="00BF4F6F" w:rsidRPr="00366482" w:rsidRDefault="00BF4F6F" w:rsidP="0004171C">
      <w:pPr>
        <w:jc w:val="both"/>
        <w:rPr>
          <w:rFonts w:ascii="Arial Narrow" w:hAnsi="Arial Narrow"/>
          <w:sz w:val="20"/>
          <w:szCs w:val="20"/>
        </w:rPr>
      </w:pPr>
      <w:r w:rsidRPr="00366482">
        <w:rPr>
          <w:rFonts w:ascii="Arial Narrow" w:hAnsi="Arial Narrow"/>
          <w:sz w:val="20"/>
          <w:szCs w:val="20"/>
        </w:rPr>
        <w:t>Las inspecciones de alimentos y productos agrícolas de las instalaciones de exportación autorizadas para "despacho previo" para agilizar el comercio (Artículo 7.12a propuesto) solo pueden llevarse a cabo "en casos excepcionales" (Artículo 13.7), según el artículo sobre Verificaciones de Importación y Matrícula. Las actividades de control de MS</w:t>
      </w:r>
      <w:r>
        <w:rPr>
          <w:rFonts w:ascii="Arial Narrow" w:hAnsi="Arial Narrow"/>
          <w:sz w:val="20"/>
          <w:szCs w:val="20"/>
        </w:rPr>
        <w:t>y</w:t>
      </w:r>
      <w:r w:rsidRPr="00366482">
        <w:rPr>
          <w:rFonts w:ascii="Arial Narrow" w:hAnsi="Arial Narrow"/>
          <w:sz w:val="20"/>
          <w:szCs w:val="20"/>
        </w:rPr>
        <w:t xml:space="preserve">F "no deben aplicarse como una medida de importación permanente y solo están previstas para facilitar el nuevo comercio" (Artículo 7.12a propuesto, con negrita en el texto original). Incluso para el "nuevo comercio", una noción no definida en el texto propuesto, pero que se refiere a alimentos y productos agrícolas aún no regulados, como los que contienen nanomateriales o los derivados de la biología sintética, los controles </w:t>
      </w:r>
      <w:r>
        <w:rPr>
          <w:rFonts w:ascii="Arial Narrow" w:hAnsi="Arial Narrow"/>
          <w:sz w:val="20"/>
          <w:szCs w:val="20"/>
        </w:rPr>
        <w:t xml:space="preserve">de </w:t>
      </w:r>
      <w:r w:rsidRPr="00366482">
        <w:rPr>
          <w:rFonts w:ascii="Arial Narrow" w:hAnsi="Arial Narrow"/>
          <w:sz w:val="20"/>
          <w:szCs w:val="20"/>
        </w:rPr>
        <w:t>MS</w:t>
      </w:r>
      <w:r>
        <w:rPr>
          <w:rFonts w:ascii="Arial Narrow" w:hAnsi="Arial Narrow"/>
          <w:sz w:val="20"/>
          <w:szCs w:val="20"/>
        </w:rPr>
        <w:t>y</w:t>
      </w:r>
      <w:r w:rsidRPr="00366482">
        <w:rPr>
          <w:rFonts w:ascii="Arial Narrow" w:hAnsi="Arial Narrow"/>
          <w:sz w:val="20"/>
          <w:szCs w:val="20"/>
        </w:rPr>
        <w:t xml:space="preserve">F deben ser temporales. Sin embargo, no existen criterios sobre qué productos y instalaciones de exportación serán elegibles </w:t>
      </w:r>
      <w:r>
        <w:rPr>
          <w:rFonts w:ascii="Arial Narrow" w:hAnsi="Arial Narrow"/>
          <w:sz w:val="20"/>
          <w:szCs w:val="20"/>
        </w:rPr>
        <w:t xml:space="preserve">para </w:t>
      </w:r>
      <w:r w:rsidRPr="00366482">
        <w:rPr>
          <w:rFonts w:ascii="Arial Narrow" w:hAnsi="Arial Narrow"/>
          <w:sz w:val="20"/>
          <w:szCs w:val="20"/>
        </w:rPr>
        <w:t>el programa de "preautorización" en el que las autoridades competentes consideran que la inspección y prueba de los productos es innecesaria para lograr el "nivel apropiado de protección sanitaria y fitosanitaria". "</w:t>
      </w:r>
    </w:p>
    <w:p w14:paraId="4508F218" w14:textId="77777777" w:rsidR="00BF4F6F" w:rsidRPr="00366482" w:rsidRDefault="00BF4F6F" w:rsidP="0004171C">
      <w:pPr>
        <w:jc w:val="both"/>
        <w:rPr>
          <w:rFonts w:ascii="Arial Narrow" w:hAnsi="Arial Narrow"/>
          <w:sz w:val="20"/>
          <w:szCs w:val="20"/>
        </w:rPr>
      </w:pPr>
    </w:p>
    <w:p w14:paraId="033C5C43" w14:textId="77777777" w:rsidR="00BF4F6F" w:rsidRPr="00366482" w:rsidRDefault="00BF4F6F" w:rsidP="0004171C">
      <w:pPr>
        <w:jc w:val="both"/>
        <w:rPr>
          <w:rFonts w:ascii="Arial Narrow" w:hAnsi="Arial Narrow"/>
          <w:b/>
          <w:sz w:val="20"/>
          <w:szCs w:val="20"/>
        </w:rPr>
      </w:pPr>
      <w:r w:rsidRPr="00366482">
        <w:rPr>
          <w:rFonts w:ascii="Arial Narrow" w:hAnsi="Arial Narrow"/>
          <w:b/>
          <w:sz w:val="20"/>
          <w:szCs w:val="20"/>
        </w:rPr>
        <w:t>Ciencia, evaluación de riesgos y gestión de riesgos</w:t>
      </w:r>
    </w:p>
    <w:p w14:paraId="3DAC2C24" w14:textId="77777777" w:rsidR="00BF4F6F" w:rsidRPr="00366482" w:rsidRDefault="00BF4F6F" w:rsidP="0004171C">
      <w:pPr>
        <w:jc w:val="both"/>
        <w:rPr>
          <w:rFonts w:ascii="Arial Narrow" w:hAnsi="Arial Narrow"/>
          <w:sz w:val="20"/>
          <w:szCs w:val="20"/>
        </w:rPr>
      </w:pPr>
    </w:p>
    <w:p w14:paraId="11262498" w14:textId="77777777" w:rsidR="00BF4F6F" w:rsidRPr="00366482" w:rsidRDefault="00BF4F6F" w:rsidP="0004171C">
      <w:pPr>
        <w:jc w:val="both"/>
        <w:rPr>
          <w:rFonts w:ascii="Arial Narrow" w:hAnsi="Arial Narrow"/>
          <w:i/>
          <w:sz w:val="20"/>
          <w:szCs w:val="20"/>
        </w:rPr>
      </w:pPr>
      <w:r w:rsidRPr="00366482">
        <w:rPr>
          <w:rFonts w:ascii="Arial Narrow" w:hAnsi="Arial Narrow"/>
          <w:i/>
          <w:sz w:val="20"/>
          <w:szCs w:val="20"/>
        </w:rPr>
        <w:t>Recomendación</w:t>
      </w:r>
    </w:p>
    <w:p w14:paraId="7F569895" w14:textId="77777777" w:rsidR="00BF4F6F" w:rsidRPr="00366482" w:rsidRDefault="00BF4F6F" w:rsidP="0004171C">
      <w:pPr>
        <w:jc w:val="both"/>
        <w:rPr>
          <w:rFonts w:ascii="Arial Narrow" w:hAnsi="Arial Narrow"/>
          <w:sz w:val="20"/>
          <w:szCs w:val="20"/>
        </w:rPr>
      </w:pPr>
    </w:p>
    <w:p w14:paraId="38288344" w14:textId="77777777" w:rsidR="00BF4F6F" w:rsidRPr="00366482" w:rsidRDefault="00BF4F6F" w:rsidP="0004171C">
      <w:pPr>
        <w:jc w:val="both"/>
        <w:rPr>
          <w:rFonts w:ascii="Arial Narrow" w:hAnsi="Arial Narrow"/>
          <w:sz w:val="20"/>
          <w:szCs w:val="20"/>
        </w:rPr>
      </w:pPr>
      <w:r>
        <w:rPr>
          <w:rFonts w:ascii="Arial Narrow" w:hAnsi="Arial Narrow"/>
          <w:sz w:val="20"/>
          <w:szCs w:val="20"/>
        </w:rPr>
        <w:t xml:space="preserve">El </w:t>
      </w:r>
      <w:r w:rsidRPr="00366482">
        <w:rPr>
          <w:rFonts w:ascii="Arial Narrow" w:hAnsi="Arial Narrow"/>
          <w:sz w:val="20"/>
          <w:szCs w:val="20"/>
        </w:rPr>
        <w:t xml:space="preserve">TACD cree que el estándar </w:t>
      </w:r>
      <w:r>
        <w:rPr>
          <w:rFonts w:ascii="Arial Narrow" w:hAnsi="Arial Narrow"/>
          <w:sz w:val="20"/>
          <w:szCs w:val="20"/>
        </w:rPr>
        <w:t>de MSyF del TPP</w:t>
      </w:r>
      <w:r w:rsidRPr="00366482">
        <w:rPr>
          <w:rFonts w:ascii="Arial Narrow" w:hAnsi="Arial Narrow"/>
          <w:sz w:val="20"/>
          <w:szCs w:val="20"/>
        </w:rPr>
        <w:t xml:space="preserve"> de permitir solo "datos científicos relevantes y razonablemente disponibles" (Artículo 7.9.5) para ser utilizado en la evaluación de riesgos da a los solicitantes comerciales, evaluadores de riesgo y gerentes</w:t>
      </w:r>
      <w:r>
        <w:rPr>
          <w:rFonts w:ascii="Arial Narrow" w:hAnsi="Arial Narrow"/>
          <w:sz w:val="20"/>
          <w:szCs w:val="20"/>
        </w:rPr>
        <w:t>,</w:t>
      </w:r>
      <w:r w:rsidRPr="00366482">
        <w:rPr>
          <w:rFonts w:ascii="Arial Narrow" w:hAnsi="Arial Narrow"/>
          <w:sz w:val="20"/>
          <w:szCs w:val="20"/>
        </w:rPr>
        <w:t xml:space="preserve"> demasiada discreción para decidir qué estudios científicos y datos serán utilizado para determinar una evaluación de riesgos, que a su vez, afectará la integridad científica subyacente a la decisión de gestión de riesgos. </w:t>
      </w:r>
      <w:r>
        <w:rPr>
          <w:rFonts w:ascii="Arial Narrow" w:hAnsi="Arial Narrow"/>
          <w:sz w:val="20"/>
          <w:szCs w:val="20"/>
        </w:rPr>
        <w:t xml:space="preserve">El </w:t>
      </w:r>
      <w:r w:rsidRPr="00366482">
        <w:rPr>
          <w:rFonts w:ascii="Arial Narrow" w:hAnsi="Arial Narrow"/>
          <w:sz w:val="20"/>
          <w:szCs w:val="20"/>
        </w:rPr>
        <w:t xml:space="preserve">TACD recomienda que el capítulo de </w:t>
      </w:r>
      <w:r>
        <w:rPr>
          <w:rFonts w:ascii="Arial Narrow" w:hAnsi="Arial Narrow"/>
          <w:sz w:val="20"/>
          <w:szCs w:val="20"/>
        </w:rPr>
        <w:t xml:space="preserve">MSyF del </w:t>
      </w:r>
      <w:r w:rsidRPr="00366482">
        <w:rPr>
          <w:rFonts w:ascii="Arial Narrow" w:hAnsi="Arial Narrow"/>
          <w:sz w:val="20"/>
          <w:szCs w:val="20"/>
        </w:rPr>
        <w:t>TTIP estipule que los datos y estudios científicos utilizados en la evaluación de riesgos deben ser accesibles al público para su revisión por pares y sus comentarios. Los datos y estudios científicos que tienen que ver con la salud pública, animal, vegetal y ambiental no deben clasificarse como información comercial confidencial o, de lo contrario, deben considerarse "razonablemente disponibles y relevantes".</w:t>
      </w:r>
    </w:p>
    <w:p w14:paraId="05409A5A" w14:textId="77777777" w:rsidR="00BF4F6F" w:rsidRPr="00366482" w:rsidRDefault="00BF4F6F" w:rsidP="0004171C">
      <w:pPr>
        <w:jc w:val="both"/>
        <w:rPr>
          <w:rFonts w:ascii="Arial Narrow" w:hAnsi="Arial Narrow"/>
          <w:sz w:val="20"/>
          <w:szCs w:val="20"/>
        </w:rPr>
      </w:pPr>
    </w:p>
    <w:p w14:paraId="1A6E2F96" w14:textId="77777777" w:rsidR="00BF4F6F" w:rsidRDefault="00BF4F6F" w:rsidP="0004171C">
      <w:pPr>
        <w:jc w:val="both"/>
        <w:rPr>
          <w:rFonts w:ascii="Arial Narrow" w:hAnsi="Arial Narrow"/>
          <w:sz w:val="20"/>
          <w:szCs w:val="20"/>
        </w:rPr>
      </w:pPr>
      <w:r>
        <w:rPr>
          <w:rFonts w:ascii="Arial Narrow" w:hAnsi="Arial Narrow"/>
          <w:sz w:val="20"/>
          <w:szCs w:val="20"/>
        </w:rPr>
        <w:lastRenderedPageBreak/>
        <w:t xml:space="preserve">El </w:t>
      </w:r>
      <w:r w:rsidRPr="00366482">
        <w:rPr>
          <w:rFonts w:ascii="Arial Narrow" w:hAnsi="Arial Narrow"/>
          <w:sz w:val="20"/>
          <w:szCs w:val="20"/>
        </w:rPr>
        <w:t>TACD recomienda agregar a los objetivos del Artículo 2.1 "respetar los sistemas regulatorios, evaluación de riesgos, gestión de riesgos y procesos de desarrollo de políticas de cada Parte, como la aplicación del principio de precaución y el us</w:t>
      </w:r>
      <w:r>
        <w:rPr>
          <w:rFonts w:ascii="Arial Narrow" w:hAnsi="Arial Narrow"/>
          <w:sz w:val="20"/>
          <w:szCs w:val="20"/>
        </w:rPr>
        <w:t>o de otros factores legítimos d</w:t>
      </w:r>
      <w:r w:rsidRPr="00366482">
        <w:rPr>
          <w:rFonts w:ascii="Arial Narrow" w:hAnsi="Arial Narrow"/>
          <w:sz w:val="20"/>
          <w:szCs w:val="20"/>
        </w:rPr>
        <w:t>e la ciencia en la toma de decisiones de gestión de riesgos</w:t>
      </w:r>
      <w:r>
        <w:rPr>
          <w:rFonts w:ascii="Arial Narrow" w:hAnsi="Arial Narrow"/>
          <w:sz w:val="20"/>
          <w:szCs w:val="20"/>
        </w:rPr>
        <w:t>". Del mismo modo que incluso</w:t>
      </w:r>
      <w:r w:rsidRPr="00366482">
        <w:rPr>
          <w:rFonts w:ascii="Arial Narrow" w:hAnsi="Arial Narrow"/>
          <w:sz w:val="20"/>
          <w:szCs w:val="20"/>
        </w:rPr>
        <w:t xml:space="preserve"> </w:t>
      </w:r>
      <w:r>
        <w:rPr>
          <w:rFonts w:ascii="Arial Narrow" w:hAnsi="Arial Narrow"/>
          <w:sz w:val="20"/>
          <w:szCs w:val="20"/>
        </w:rPr>
        <w:t>ha definición la</w:t>
      </w:r>
      <w:r w:rsidRPr="00366482">
        <w:rPr>
          <w:rFonts w:ascii="Arial Narrow" w:hAnsi="Arial Narrow"/>
          <w:sz w:val="20"/>
          <w:szCs w:val="20"/>
        </w:rPr>
        <w:t xml:space="preserve"> evaluación de riesgos en el Acuerdo MS</w:t>
      </w:r>
      <w:r>
        <w:rPr>
          <w:rFonts w:ascii="Arial Narrow" w:hAnsi="Arial Narrow"/>
          <w:sz w:val="20"/>
          <w:szCs w:val="20"/>
        </w:rPr>
        <w:t>y</w:t>
      </w:r>
      <w:r w:rsidRPr="00366482">
        <w:rPr>
          <w:rFonts w:ascii="Arial Narrow" w:hAnsi="Arial Narrow"/>
          <w:sz w:val="20"/>
          <w:szCs w:val="20"/>
        </w:rPr>
        <w:t xml:space="preserve">F de la OMC </w:t>
      </w:r>
      <w:r>
        <w:rPr>
          <w:rFonts w:ascii="Arial Narrow" w:hAnsi="Arial Narrow"/>
          <w:sz w:val="20"/>
          <w:szCs w:val="20"/>
        </w:rPr>
        <w:t xml:space="preserve">que </w:t>
      </w:r>
      <w:r w:rsidRPr="00366482">
        <w:rPr>
          <w:rFonts w:ascii="Arial Narrow" w:hAnsi="Arial Narrow"/>
          <w:sz w:val="20"/>
          <w:szCs w:val="20"/>
        </w:rPr>
        <w:t xml:space="preserve">incluye factores económicos (anexo 8, párrafo 4) y la aplicación de medidas sanitarias y fitosanitarias incluye su "viabilidad económica" (TPP, artículo 7.6 c), también deben los administradores de riesgos usar otros factores legítimos, por ej. </w:t>
      </w:r>
      <w:r>
        <w:rPr>
          <w:rFonts w:ascii="Arial Narrow" w:hAnsi="Arial Narrow"/>
          <w:sz w:val="20"/>
          <w:szCs w:val="20"/>
        </w:rPr>
        <w:t xml:space="preserve">Lo </w:t>
      </w:r>
      <w:r w:rsidRPr="00366482">
        <w:rPr>
          <w:rFonts w:ascii="Arial Narrow" w:hAnsi="Arial Narrow"/>
          <w:sz w:val="20"/>
          <w:szCs w:val="20"/>
        </w:rPr>
        <w:t>económico, social, ético, en la toma de decisiones de gestión de riesgos. Como tal, la definición de "gestión de riesgos" basada en la qu</w:t>
      </w:r>
      <w:r>
        <w:rPr>
          <w:rFonts w:ascii="Arial Narrow" w:hAnsi="Arial Narrow"/>
          <w:sz w:val="20"/>
          <w:szCs w:val="20"/>
        </w:rPr>
        <w:t>e se incluye en el Capítulo de MSyF del TPP</w:t>
      </w:r>
      <w:r w:rsidRPr="00366482">
        <w:rPr>
          <w:rFonts w:ascii="Arial Narrow" w:hAnsi="Arial Narrow"/>
          <w:sz w:val="20"/>
          <w:szCs w:val="20"/>
        </w:rPr>
        <w:t xml:space="preserve"> no sería aceptable, ya que evitaría decisiones de gestión de riesgos basadas en otros factores</w:t>
      </w:r>
      <w:r>
        <w:rPr>
          <w:rFonts w:ascii="Arial Narrow" w:hAnsi="Arial Narrow"/>
          <w:sz w:val="20"/>
          <w:szCs w:val="20"/>
        </w:rPr>
        <w:t xml:space="preserve"> que simplemente los factores de riesgo.</w:t>
      </w:r>
    </w:p>
    <w:p w14:paraId="10244C83" w14:textId="77777777" w:rsidR="00BF4F6F" w:rsidRDefault="00BF4F6F" w:rsidP="0004171C">
      <w:pPr>
        <w:jc w:val="both"/>
        <w:rPr>
          <w:rFonts w:ascii="Arial Narrow" w:hAnsi="Arial Narrow"/>
          <w:sz w:val="20"/>
          <w:szCs w:val="20"/>
        </w:rPr>
      </w:pPr>
    </w:p>
    <w:p w14:paraId="5B97E7D9" w14:textId="77777777" w:rsidR="00BF4F6F" w:rsidRPr="005B4E80" w:rsidRDefault="00BF4F6F" w:rsidP="0004171C">
      <w:pPr>
        <w:jc w:val="both"/>
        <w:rPr>
          <w:rFonts w:ascii="Arial Narrow" w:hAnsi="Arial Narrow"/>
          <w:i/>
          <w:sz w:val="20"/>
          <w:szCs w:val="20"/>
        </w:rPr>
      </w:pPr>
      <w:r w:rsidRPr="005B4E80">
        <w:rPr>
          <w:rFonts w:ascii="Arial Narrow" w:hAnsi="Arial Narrow"/>
          <w:i/>
          <w:sz w:val="20"/>
          <w:szCs w:val="20"/>
        </w:rPr>
        <w:t xml:space="preserve">Antecedentes </w:t>
      </w:r>
    </w:p>
    <w:p w14:paraId="6DA65AC1" w14:textId="77777777" w:rsidR="00BF4F6F" w:rsidRDefault="00BF4F6F" w:rsidP="0004171C">
      <w:pPr>
        <w:jc w:val="both"/>
        <w:rPr>
          <w:rFonts w:ascii="Arial Narrow" w:hAnsi="Arial Narrow"/>
          <w:sz w:val="20"/>
          <w:szCs w:val="20"/>
        </w:rPr>
      </w:pPr>
    </w:p>
    <w:p w14:paraId="21F47FAC" w14:textId="6F907C03" w:rsidR="00BF4F6F" w:rsidRPr="00366482" w:rsidRDefault="00BF4F6F" w:rsidP="0004171C">
      <w:pPr>
        <w:jc w:val="both"/>
        <w:rPr>
          <w:rFonts w:ascii="Arial Narrow" w:hAnsi="Arial Narrow"/>
          <w:sz w:val="20"/>
          <w:szCs w:val="20"/>
        </w:rPr>
      </w:pPr>
      <w:r w:rsidRPr="00366482">
        <w:rPr>
          <w:rFonts w:ascii="Arial Narrow" w:hAnsi="Arial Narrow"/>
          <w:sz w:val="20"/>
          <w:szCs w:val="20"/>
        </w:rPr>
        <w:t xml:space="preserve">En el capítulo de </w:t>
      </w:r>
      <w:r>
        <w:rPr>
          <w:rFonts w:ascii="Arial Narrow" w:hAnsi="Arial Narrow"/>
          <w:sz w:val="20"/>
          <w:szCs w:val="20"/>
        </w:rPr>
        <w:t xml:space="preserve">MSyF del </w:t>
      </w:r>
      <w:r w:rsidRPr="00366482">
        <w:rPr>
          <w:rFonts w:ascii="Arial Narrow" w:hAnsi="Arial Narrow"/>
          <w:sz w:val="20"/>
          <w:szCs w:val="20"/>
        </w:rPr>
        <w:t xml:space="preserve">TPP, hay un artículo que resume el uso de la ciencia en la evaluación de riesgos para aprobar productos para la comercialización nacional y, a través de acuerdos comerciales, para el comercio internacional. "Cada Parte se asegurará de que cada evaluación de riesgos que realice sea apropiada a las circunstancias del riesgo en cuestión y tenga en cuenta datos científicos razonablemente disponibles y pertinentes, incluida información cualitativa y cuantitativa" (Artículo 7.9.5). Las aprobaciones reglamentarias no se basan en el peso de la evidencia en ciencia públicamente disponible y revisada por pares, sino en base a qué riesgos </w:t>
      </w:r>
      <w:r>
        <w:rPr>
          <w:rFonts w:ascii="Arial Narrow" w:hAnsi="Arial Narrow"/>
          <w:sz w:val="20"/>
          <w:szCs w:val="20"/>
        </w:rPr>
        <w:t xml:space="preserve">juzgan </w:t>
      </w:r>
      <w:r w:rsidRPr="00366482">
        <w:rPr>
          <w:rFonts w:ascii="Arial Narrow" w:hAnsi="Arial Narrow"/>
          <w:sz w:val="20"/>
          <w:szCs w:val="20"/>
        </w:rPr>
        <w:t xml:space="preserve">los gerentes y evaluadores, en respuesta a los reclamos de información comercial confidencial, </w:t>
      </w:r>
      <w:r>
        <w:rPr>
          <w:rFonts w:ascii="Arial Narrow" w:hAnsi="Arial Narrow"/>
          <w:sz w:val="20"/>
          <w:szCs w:val="20"/>
        </w:rPr>
        <w:t xml:space="preserve">y </w:t>
      </w:r>
      <w:r w:rsidRPr="00366482">
        <w:rPr>
          <w:rFonts w:ascii="Arial Narrow" w:hAnsi="Arial Narrow"/>
          <w:sz w:val="20"/>
          <w:szCs w:val="20"/>
        </w:rPr>
        <w:t xml:space="preserve">consideran como "datos científicos razonablemente disponibles y relevantes". </w:t>
      </w:r>
    </w:p>
    <w:p w14:paraId="3BD2B024" w14:textId="77777777" w:rsidR="00BF4F6F" w:rsidRPr="00366482" w:rsidRDefault="00BF4F6F" w:rsidP="0004171C">
      <w:pPr>
        <w:jc w:val="both"/>
        <w:rPr>
          <w:rFonts w:ascii="Arial Narrow" w:hAnsi="Arial Narrow"/>
          <w:sz w:val="20"/>
          <w:szCs w:val="20"/>
        </w:rPr>
      </w:pPr>
    </w:p>
    <w:p w14:paraId="1CBC39EF" w14:textId="77777777" w:rsidR="00BF4F6F" w:rsidRPr="00366482" w:rsidRDefault="00BF4F6F" w:rsidP="0004171C">
      <w:pPr>
        <w:jc w:val="both"/>
        <w:rPr>
          <w:rFonts w:ascii="Arial Narrow" w:hAnsi="Arial Narrow"/>
          <w:sz w:val="20"/>
          <w:szCs w:val="20"/>
        </w:rPr>
      </w:pPr>
      <w:r>
        <w:rPr>
          <w:rFonts w:ascii="Arial Narrow" w:hAnsi="Arial Narrow"/>
          <w:sz w:val="20"/>
          <w:szCs w:val="20"/>
        </w:rPr>
        <w:t xml:space="preserve">¿Qué </w:t>
      </w:r>
      <w:r w:rsidRPr="00366482">
        <w:rPr>
          <w:rFonts w:ascii="Arial Narrow" w:hAnsi="Arial Narrow"/>
          <w:sz w:val="20"/>
          <w:szCs w:val="20"/>
        </w:rPr>
        <w:t>s</w:t>
      </w:r>
      <w:r>
        <w:rPr>
          <w:rFonts w:ascii="Arial Narrow" w:hAnsi="Arial Narrow"/>
          <w:sz w:val="20"/>
          <w:szCs w:val="20"/>
        </w:rPr>
        <w:t>on</w:t>
      </w:r>
      <w:r w:rsidRPr="00366482">
        <w:rPr>
          <w:rFonts w:ascii="Arial Narrow" w:hAnsi="Arial Narrow"/>
          <w:sz w:val="20"/>
          <w:szCs w:val="20"/>
        </w:rPr>
        <w:t xml:space="preserve"> "datos científicos razonablemente disponibles y relevantes"? Probablemente se propondría una respuesta a esta pregunta durante el curso de una disputa sobre si una medida sanitaria o fitosanitaria se había basado en "ciencia". Imagine, por ejemplo, que hubo una disputa comercial. que se centró en el nivel máximo de residuos para glifosato, un producto herbicida comercializado a nivel mundial.</w:t>
      </w:r>
    </w:p>
    <w:p w14:paraId="7C074C07" w14:textId="77777777" w:rsidR="00BF4F6F" w:rsidRPr="00366482" w:rsidRDefault="00BF4F6F" w:rsidP="0004171C">
      <w:pPr>
        <w:jc w:val="both"/>
        <w:rPr>
          <w:rFonts w:ascii="Arial Narrow" w:hAnsi="Arial Narrow"/>
          <w:sz w:val="20"/>
          <w:szCs w:val="20"/>
        </w:rPr>
      </w:pPr>
    </w:p>
    <w:p w14:paraId="3EFCB050" w14:textId="2E818067" w:rsidR="00BF4F6F" w:rsidRPr="008B15BB" w:rsidRDefault="00BF4F6F" w:rsidP="0004171C">
      <w:pPr>
        <w:jc w:val="both"/>
        <w:rPr>
          <w:rFonts w:ascii="Arial Narrow" w:hAnsi="Arial Narrow"/>
          <w:sz w:val="16"/>
          <w:szCs w:val="20"/>
        </w:rPr>
      </w:pPr>
      <w:r w:rsidRPr="00366482">
        <w:rPr>
          <w:rFonts w:ascii="Arial Narrow" w:hAnsi="Arial Narrow"/>
          <w:sz w:val="20"/>
          <w:szCs w:val="20"/>
        </w:rPr>
        <w:t xml:space="preserve">La evidencia en tal disputa incluiría el historial regulatorio del glifosato en relación con el estándar de "datos científicos razonablemente disponibles y relevantes". En 1985, la Agencia de Protección Ambiental </w:t>
      </w:r>
      <w:r>
        <w:rPr>
          <w:rFonts w:ascii="Arial Narrow" w:hAnsi="Arial Narrow"/>
          <w:sz w:val="20"/>
          <w:szCs w:val="20"/>
        </w:rPr>
        <w:t>(EPA) de EE.UU.</w:t>
      </w:r>
      <w:r w:rsidRPr="00366482">
        <w:rPr>
          <w:rFonts w:ascii="Arial Narrow" w:hAnsi="Arial Narrow"/>
          <w:sz w:val="20"/>
          <w:szCs w:val="20"/>
        </w:rPr>
        <w:t xml:space="preserve"> había "clasificado el glifosato como un posible carcinógeno", pero reclasificó el glifosato como no cancerígeno en 1991 luego de la presentación de nuevos datos por parte de Monsanto, el fabricante del herbicida. La EPA no ha realizado una evaluación completa del glifosato desde 1993</w:t>
      </w:r>
      <w:r w:rsidR="008B15BB">
        <w:rPr>
          <w:rFonts w:ascii="Arial Narrow" w:hAnsi="Arial Narrow"/>
          <w:sz w:val="20"/>
          <w:szCs w:val="20"/>
        </w:rPr>
        <w:t xml:space="preserve"> </w:t>
      </w:r>
      <w:r w:rsidR="008B15BB">
        <w:rPr>
          <w:rFonts w:ascii="Arial Narrow" w:hAnsi="Arial Narrow"/>
          <w:sz w:val="16"/>
          <w:szCs w:val="20"/>
        </w:rPr>
        <w:t>(14)</w:t>
      </w:r>
      <w:r w:rsidRPr="00366482">
        <w:rPr>
          <w:rFonts w:ascii="Arial Narrow" w:hAnsi="Arial Narrow"/>
          <w:sz w:val="20"/>
          <w:szCs w:val="20"/>
        </w:rPr>
        <w:t xml:space="preserve">. </w:t>
      </w:r>
      <w:r>
        <w:rPr>
          <w:rFonts w:ascii="Arial Narrow" w:hAnsi="Arial Narrow"/>
          <w:sz w:val="20"/>
          <w:szCs w:val="20"/>
        </w:rPr>
        <w:t xml:space="preserve">Un </w:t>
      </w:r>
      <w:r w:rsidRPr="00366482">
        <w:rPr>
          <w:rFonts w:ascii="Arial Narrow" w:hAnsi="Arial Narrow"/>
          <w:sz w:val="20"/>
          <w:szCs w:val="20"/>
        </w:rPr>
        <w:t>Avance rápido a</w:t>
      </w:r>
      <w:r>
        <w:rPr>
          <w:rFonts w:ascii="Arial Narrow" w:hAnsi="Arial Narrow"/>
          <w:sz w:val="20"/>
          <w:szCs w:val="20"/>
        </w:rPr>
        <w:t xml:space="preserve"> sopesado el </w:t>
      </w:r>
      <w:r w:rsidRPr="00366482">
        <w:rPr>
          <w:rFonts w:ascii="Arial Narrow" w:hAnsi="Arial Narrow"/>
          <w:sz w:val="20"/>
          <w:szCs w:val="20"/>
        </w:rPr>
        <w:t>informe de la EPA del 29 de junio de 2015</w:t>
      </w:r>
      <w:r>
        <w:rPr>
          <w:rFonts w:ascii="Arial Narrow" w:hAnsi="Arial Narrow"/>
          <w:sz w:val="20"/>
          <w:szCs w:val="20"/>
        </w:rPr>
        <w:t>, ofreciendo evidencia sobre</w:t>
      </w:r>
      <w:r w:rsidRPr="00366482">
        <w:rPr>
          <w:rFonts w:ascii="Arial Narrow" w:hAnsi="Arial Narrow"/>
          <w:sz w:val="20"/>
          <w:szCs w:val="20"/>
        </w:rPr>
        <w:t xml:space="preserve"> </w:t>
      </w:r>
      <w:r>
        <w:rPr>
          <w:rFonts w:ascii="Arial Narrow" w:hAnsi="Arial Narrow"/>
          <w:sz w:val="20"/>
          <w:szCs w:val="20"/>
        </w:rPr>
        <w:t>el daña a</w:t>
      </w:r>
      <w:r w:rsidRPr="00366482">
        <w:rPr>
          <w:rFonts w:ascii="Arial Narrow" w:hAnsi="Arial Narrow"/>
          <w:sz w:val="20"/>
          <w:szCs w:val="20"/>
        </w:rPr>
        <w:t xml:space="preserve">l desarrollo hormonal </w:t>
      </w:r>
      <w:r>
        <w:rPr>
          <w:rFonts w:ascii="Arial Narrow" w:hAnsi="Arial Narrow"/>
          <w:sz w:val="20"/>
          <w:szCs w:val="20"/>
        </w:rPr>
        <w:t xml:space="preserve">por </w:t>
      </w:r>
      <w:r w:rsidRPr="00366482">
        <w:rPr>
          <w:rFonts w:ascii="Arial Narrow" w:hAnsi="Arial Narrow"/>
          <w:sz w:val="20"/>
          <w:szCs w:val="20"/>
        </w:rPr>
        <w:t>glifosato, incluido el de los humanos, es decir, si es un disruptor endocrino. Los trastornos endocrinos incluyen diabetes, disfunción sexual, trastornos del crecimiento y enfermedad tiroidea</w:t>
      </w:r>
      <w:r w:rsidR="008B15BB">
        <w:rPr>
          <w:rFonts w:ascii="Arial Narrow" w:hAnsi="Arial Narrow"/>
          <w:sz w:val="20"/>
          <w:szCs w:val="20"/>
        </w:rPr>
        <w:t xml:space="preserve"> </w:t>
      </w:r>
      <w:r w:rsidR="008B15BB">
        <w:rPr>
          <w:rFonts w:ascii="Arial Narrow" w:hAnsi="Arial Narrow"/>
          <w:sz w:val="16"/>
          <w:szCs w:val="20"/>
        </w:rPr>
        <w:t>(15).</w:t>
      </w:r>
      <w:r w:rsidRPr="00366482">
        <w:rPr>
          <w:rFonts w:ascii="Arial Narrow" w:hAnsi="Arial Narrow"/>
          <w:sz w:val="20"/>
          <w:szCs w:val="20"/>
        </w:rPr>
        <w:t xml:space="preserve"> Algunos tumores endocrinos son cancerosos</w:t>
      </w:r>
      <w:r w:rsidR="008B15BB">
        <w:rPr>
          <w:rFonts w:ascii="Arial Narrow" w:hAnsi="Arial Narrow"/>
          <w:sz w:val="20"/>
          <w:szCs w:val="20"/>
        </w:rPr>
        <w:t xml:space="preserve"> </w:t>
      </w:r>
      <w:r w:rsidR="008B15BB">
        <w:rPr>
          <w:rFonts w:ascii="Arial Narrow" w:hAnsi="Arial Narrow"/>
          <w:sz w:val="16"/>
          <w:szCs w:val="20"/>
        </w:rPr>
        <w:t>(16).</w:t>
      </w:r>
    </w:p>
    <w:p w14:paraId="7F04CBFE" w14:textId="77777777" w:rsidR="00BF4F6F" w:rsidRPr="00366482" w:rsidRDefault="00BF4F6F" w:rsidP="0004171C">
      <w:pPr>
        <w:jc w:val="both"/>
        <w:rPr>
          <w:rFonts w:ascii="Arial Narrow" w:hAnsi="Arial Narrow"/>
          <w:sz w:val="20"/>
          <w:szCs w:val="20"/>
        </w:rPr>
      </w:pPr>
    </w:p>
    <w:p w14:paraId="7612D4CB" w14:textId="36E05C59" w:rsidR="00BF4F6F" w:rsidRPr="008B15BB" w:rsidRDefault="00BF4F6F" w:rsidP="0004171C">
      <w:pPr>
        <w:jc w:val="both"/>
        <w:rPr>
          <w:rFonts w:ascii="Arial Narrow" w:hAnsi="Arial Narrow"/>
          <w:sz w:val="16"/>
          <w:szCs w:val="20"/>
        </w:rPr>
      </w:pPr>
      <w:r w:rsidRPr="00366482">
        <w:rPr>
          <w:rFonts w:ascii="Arial Narrow" w:hAnsi="Arial Narrow"/>
          <w:sz w:val="20"/>
          <w:szCs w:val="20"/>
        </w:rPr>
        <w:t>La EPA se basó en gran medida en 27 estudios de Monsanto, la mayoría de ellos inéditos para concluir que la agencia tenía pruebas suficientes para determinar que RoundUp, la marca registrada de glifosato de Monsanto, no es un disruptor endocrino</w:t>
      </w:r>
      <w:r w:rsidR="008B15BB">
        <w:rPr>
          <w:rFonts w:ascii="Arial Narrow" w:hAnsi="Arial Narrow"/>
          <w:sz w:val="20"/>
          <w:szCs w:val="20"/>
        </w:rPr>
        <w:t xml:space="preserve"> </w:t>
      </w:r>
      <w:r w:rsidR="008B15BB">
        <w:rPr>
          <w:rFonts w:ascii="Arial Narrow" w:hAnsi="Arial Narrow"/>
          <w:sz w:val="16"/>
          <w:szCs w:val="20"/>
        </w:rPr>
        <w:t>(17)</w:t>
      </w:r>
      <w:r w:rsidRPr="00366482">
        <w:rPr>
          <w:rFonts w:ascii="Arial Narrow" w:hAnsi="Arial Narrow"/>
          <w:sz w:val="20"/>
          <w:szCs w:val="20"/>
        </w:rPr>
        <w:t xml:space="preserve">. Un elemento crucial en esta determinación fue el </w:t>
      </w:r>
      <w:r>
        <w:rPr>
          <w:rFonts w:ascii="Arial Narrow" w:hAnsi="Arial Narrow"/>
          <w:sz w:val="20"/>
          <w:szCs w:val="20"/>
        </w:rPr>
        <w:t xml:space="preserve">límite </w:t>
      </w:r>
      <w:r w:rsidRPr="00366482">
        <w:rPr>
          <w:rFonts w:ascii="Arial Narrow" w:hAnsi="Arial Narrow"/>
          <w:sz w:val="20"/>
          <w:szCs w:val="20"/>
        </w:rPr>
        <w:t xml:space="preserve">de 2014 -la fecha de revisión de la literatura científica, uno de los nueve criterios para excluir la evidencia del informe </w:t>
      </w:r>
      <w:r>
        <w:rPr>
          <w:rFonts w:ascii="Arial Narrow" w:hAnsi="Arial Narrow"/>
          <w:sz w:val="20"/>
          <w:szCs w:val="20"/>
        </w:rPr>
        <w:t xml:space="preserve">conteniendo </w:t>
      </w:r>
      <w:r w:rsidRPr="00366482">
        <w:rPr>
          <w:rFonts w:ascii="Arial Narrow" w:hAnsi="Arial Narrow"/>
          <w:sz w:val="20"/>
          <w:szCs w:val="20"/>
        </w:rPr>
        <w:t>evidencia</w:t>
      </w:r>
      <w:r>
        <w:rPr>
          <w:rFonts w:ascii="Arial Narrow" w:hAnsi="Arial Narrow"/>
          <w:sz w:val="20"/>
          <w:szCs w:val="20"/>
        </w:rPr>
        <w:t xml:space="preserve"> fundamentada</w:t>
      </w:r>
      <w:r w:rsidR="008B15BB">
        <w:rPr>
          <w:rFonts w:ascii="Arial Narrow" w:hAnsi="Arial Narrow"/>
          <w:sz w:val="20"/>
          <w:szCs w:val="20"/>
        </w:rPr>
        <w:t xml:space="preserve"> </w:t>
      </w:r>
      <w:r w:rsidR="008B15BB">
        <w:rPr>
          <w:rFonts w:ascii="Arial Narrow" w:hAnsi="Arial Narrow"/>
          <w:sz w:val="16"/>
          <w:szCs w:val="20"/>
        </w:rPr>
        <w:t>(18).</w:t>
      </w:r>
    </w:p>
    <w:p w14:paraId="4B7A63F6" w14:textId="77777777" w:rsidR="00BF4F6F" w:rsidRPr="00366482" w:rsidRDefault="00BF4F6F" w:rsidP="0004171C">
      <w:pPr>
        <w:jc w:val="both"/>
        <w:rPr>
          <w:rFonts w:ascii="Arial Narrow" w:hAnsi="Arial Narrow"/>
          <w:sz w:val="20"/>
          <w:szCs w:val="20"/>
        </w:rPr>
      </w:pPr>
    </w:p>
    <w:p w14:paraId="3159A3B8" w14:textId="675388F8" w:rsidR="00BF4F6F" w:rsidRPr="00366482" w:rsidRDefault="00BF4F6F" w:rsidP="0004171C">
      <w:pPr>
        <w:jc w:val="both"/>
        <w:rPr>
          <w:rFonts w:ascii="Arial Narrow" w:hAnsi="Arial Narrow"/>
          <w:sz w:val="20"/>
          <w:szCs w:val="20"/>
        </w:rPr>
      </w:pPr>
      <w:r w:rsidRPr="00366482">
        <w:rPr>
          <w:rFonts w:ascii="Arial Narrow" w:hAnsi="Arial Narrow"/>
          <w:sz w:val="20"/>
          <w:szCs w:val="20"/>
        </w:rPr>
        <w:t xml:space="preserve">En julio, la Agencia Internacional para la Investigación del Cáncer (IARC) publicó su informe completo que caracterizó al glifosato como "probablemente carcinógeno humano" </w:t>
      </w:r>
      <w:r w:rsidR="00115648">
        <w:rPr>
          <w:rFonts w:ascii="Arial Narrow" w:hAnsi="Arial Narrow"/>
          <w:sz w:val="16"/>
          <w:szCs w:val="20"/>
        </w:rPr>
        <w:t>(19)</w:t>
      </w:r>
      <w:r w:rsidRPr="00366482">
        <w:rPr>
          <w:rFonts w:ascii="Arial Narrow" w:hAnsi="Arial Narrow"/>
          <w:sz w:val="20"/>
          <w:szCs w:val="20"/>
        </w:rPr>
        <w:t xml:space="preserve"> después de haber debatido enérgicamente si el herbicida debería clasificarse como "</w:t>
      </w:r>
      <w:r>
        <w:rPr>
          <w:rFonts w:ascii="Arial Narrow" w:hAnsi="Arial Narrow"/>
          <w:sz w:val="20"/>
          <w:szCs w:val="20"/>
        </w:rPr>
        <w:t>carcinógeno humano conocido"</w:t>
      </w:r>
      <w:r w:rsidR="00115648">
        <w:rPr>
          <w:rFonts w:ascii="Arial Narrow" w:hAnsi="Arial Narrow"/>
          <w:sz w:val="20"/>
          <w:szCs w:val="20"/>
        </w:rPr>
        <w:t xml:space="preserve"> </w:t>
      </w:r>
      <w:r w:rsidR="00115648">
        <w:rPr>
          <w:rFonts w:ascii="Arial Narrow" w:hAnsi="Arial Narrow"/>
          <w:sz w:val="16"/>
          <w:szCs w:val="20"/>
        </w:rPr>
        <w:t xml:space="preserve">(20). </w:t>
      </w:r>
      <w:r>
        <w:rPr>
          <w:rFonts w:ascii="Arial Narrow" w:hAnsi="Arial Narrow"/>
          <w:sz w:val="20"/>
          <w:szCs w:val="20"/>
        </w:rPr>
        <w:t xml:space="preserve">La </w:t>
      </w:r>
      <w:r w:rsidRPr="00366482">
        <w:rPr>
          <w:rFonts w:ascii="Arial Narrow" w:hAnsi="Arial Narrow"/>
          <w:sz w:val="20"/>
          <w:szCs w:val="20"/>
        </w:rPr>
        <w:t>EPA tiene dijo que tomará los hallazgos de IARC en consideración</w:t>
      </w:r>
      <w:r w:rsidR="00115648">
        <w:rPr>
          <w:rFonts w:ascii="Arial Narrow" w:hAnsi="Arial Narrow"/>
          <w:sz w:val="20"/>
          <w:szCs w:val="20"/>
        </w:rPr>
        <w:t xml:space="preserve"> </w:t>
      </w:r>
      <w:r w:rsidR="00115648">
        <w:rPr>
          <w:rFonts w:ascii="Arial Narrow" w:hAnsi="Arial Narrow"/>
          <w:sz w:val="16"/>
          <w:szCs w:val="20"/>
        </w:rPr>
        <w:t xml:space="preserve">(21) </w:t>
      </w:r>
      <w:r w:rsidRPr="00366482">
        <w:rPr>
          <w:rFonts w:ascii="Arial Narrow" w:hAnsi="Arial Narrow"/>
          <w:sz w:val="20"/>
          <w:szCs w:val="20"/>
        </w:rPr>
        <w:t>cuando emita una "</w:t>
      </w:r>
      <w:r>
        <w:rPr>
          <w:rFonts w:ascii="Arial Narrow" w:hAnsi="Arial Narrow"/>
          <w:sz w:val="20"/>
          <w:szCs w:val="20"/>
        </w:rPr>
        <w:t>Propuesta de Decisión Provisional</w:t>
      </w:r>
      <w:r w:rsidRPr="00366482">
        <w:rPr>
          <w:rFonts w:ascii="Arial Narrow" w:hAnsi="Arial Narrow"/>
          <w:sz w:val="20"/>
          <w:szCs w:val="20"/>
        </w:rPr>
        <w:t>" al menos siete años después de que comenzó su reevaluación del glifosato en 2009</w:t>
      </w:r>
      <w:r w:rsidR="00115648">
        <w:rPr>
          <w:rFonts w:ascii="Arial Narrow" w:hAnsi="Arial Narrow"/>
          <w:sz w:val="20"/>
          <w:szCs w:val="20"/>
        </w:rPr>
        <w:t xml:space="preserve"> </w:t>
      </w:r>
      <w:r w:rsidR="00115648">
        <w:rPr>
          <w:rFonts w:ascii="Arial Narrow" w:hAnsi="Arial Narrow"/>
          <w:sz w:val="16"/>
          <w:szCs w:val="20"/>
        </w:rPr>
        <w:t>(22).</w:t>
      </w:r>
      <w:r w:rsidRPr="00366482">
        <w:rPr>
          <w:rFonts w:ascii="Arial Narrow" w:hAnsi="Arial Narrow"/>
          <w:sz w:val="20"/>
          <w:szCs w:val="20"/>
        </w:rPr>
        <w:t xml:space="preserve"> Si la decisión es adversa a Monsanto y a otros fabricantes de glifosato, pueden presentar nuevos estudios, incluida la información comercial confidencial, para revertir la evaluación de riesgos, como lo hicieron 25 años antes.</w:t>
      </w:r>
    </w:p>
    <w:p w14:paraId="56EA8B08" w14:textId="77777777" w:rsidR="00BF4F6F" w:rsidRPr="00366482" w:rsidRDefault="00BF4F6F" w:rsidP="0004171C">
      <w:pPr>
        <w:jc w:val="both"/>
        <w:rPr>
          <w:rFonts w:ascii="Arial Narrow" w:hAnsi="Arial Narrow"/>
          <w:sz w:val="20"/>
          <w:szCs w:val="20"/>
        </w:rPr>
      </w:pPr>
    </w:p>
    <w:p w14:paraId="7EE48CCA" w14:textId="2BA5A50F" w:rsidR="00BF4F6F" w:rsidRPr="000D6D2B" w:rsidRDefault="00BF4F6F" w:rsidP="0004171C">
      <w:pPr>
        <w:jc w:val="both"/>
        <w:rPr>
          <w:rFonts w:ascii="Arial Narrow" w:hAnsi="Arial Narrow"/>
          <w:sz w:val="16"/>
          <w:szCs w:val="20"/>
        </w:rPr>
      </w:pPr>
      <w:r w:rsidRPr="00366482">
        <w:rPr>
          <w:rFonts w:ascii="Arial Narrow" w:hAnsi="Arial Narrow"/>
          <w:sz w:val="20"/>
          <w:szCs w:val="20"/>
        </w:rPr>
        <w:t>En la Unión Europea, una evaluación de riesgo positiva para glifosato 2015 ha sido ampliamente criticada, debido a la elección de la evidencia científica revisada por la Autoridad Europea de Seguridad Alimentaria (EFSA). Según la toxicóloga Jennifer Sass, "la dramática inconsistencia entre los informes de cáncer de la EFSA e IARC estimuló a 96 científicos prominentes de 25 países a expresar su fuerte opo</w:t>
      </w:r>
      <w:r>
        <w:rPr>
          <w:rFonts w:ascii="Arial Narrow" w:hAnsi="Arial Narrow"/>
          <w:sz w:val="20"/>
          <w:szCs w:val="20"/>
        </w:rPr>
        <w:t>sición al informe de la EFSA"</w:t>
      </w:r>
      <w:r w:rsidR="000D6D2B">
        <w:rPr>
          <w:rFonts w:ascii="Arial Narrow" w:hAnsi="Arial Narrow"/>
          <w:sz w:val="20"/>
          <w:szCs w:val="20"/>
        </w:rPr>
        <w:t xml:space="preserve"> </w:t>
      </w:r>
      <w:r w:rsidR="000D6D2B">
        <w:rPr>
          <w:rFonts w:ascii="Arial Narrow" w:hAnsi="Arial Narrow"/>
          <w:sz w:val="16"/>
          <w:szCs w:val="20"/>
        </w:rPr>
        <w:t>(23).</w:t>
      </w:r>
      <w:r w:rsidRPr="00366482">
        <w:rPr>
          <w:rFonts w:ascii="Arial Narrow" w:hAnsi="Arial Narrow"/>
          <w:sz w:val="20"/>
          <w:szCs w:val="20"/>
        </w:rPr>
        <w:t xml:space="preserve"> </w:t>
      </w:r>
      <w:r>
        <w:rPr>
          <w:rFonts w:ascii="Arial Narrow" w:hAnsi="Arial Narrow"/>
          <w:sz w:val="20"/>
          <w:szCs w:val="20"/>
        </w:rPr>
        <w:t xml:space="preserve">La </w:t>
      </w:r>
      <w:r w:rsidRPr="00366482">
        <w:rPr>
          <w:rFonts w:ascii="Arial Narrow" w:hAnsi="Arial Narrow"/>
          <w:sz w:val="20"/>
          <w:szCs w:val="20"/>
        </w:rPr>
        <w:t>EFSA respondió a la carta indicando que los científicos de la EFSA se reunirían a principios de 2016 con los investigadores de IARC "para analizar las diferentes pruebas y las diferentes metodologías utilizadas por las dos organizaciones"</w:t>
      </w:r>
      <w:r w:rsidR="000D6D2B">
        <w:rPr>
          <w:rFonts w:ascii="Arial Narrow" w:hAnsi="Arial Narrow"/>
          <w:sz w:val="20"/>
          <w:szCs w:val="20"/>
        </w:rPr>
        <w:t xml:space="preserve"> </w:t>
      </w:r>
      <w:r w:rsidR="000D6D2B">
        <w:rPr>
          <w:rFonts w:ascii="Arial Narrow" w:hAnsi="Arial Narrow"/>
          <w:sz w:val="16"/>
          <w:szCs w:val="20"/>
        </w:rPr>
        <w:t>(24) (25).</w:t>
      </w:r>
    </w:p>
    <w:p w14:paraId="20FA2E40" w14:textId="77777777" w:rsidR="00BF4F6F" w:rsidRPr="00366482" w:rsidRDefault="00BF4F6F" w:rsidP="0004171C">
      <w:pPr>
        <w:jc w:val="both"/>
        <w:rPr>
          <w:rFonts w:ascii="Arial Narrow" w:hAnsi="Arial Narrow"/>
          <w:sz w:val="20"/>
          <w:szCs w:val="20"/>
        </w:rPr>
      </w:pPr>
    </w:p>
    <w:p w14:paraId="38CD134F" w14:textId="27DCAEBB" w:rsidR="00BF4F6F" w:rsidRPr="00366482" w:rsidRDefault="00BF4F6F" w:rsidP="0004171C">
      <w:pPr>
        <w:jc w:val="both"/>
        <w:rPr>
          <w:rFonts w:ascii="Arial Narrow" w:hAnsi="Arial Narrow"/>
          <w:sz w:val="20"/>
          <w:szCs w:val="20"/>
        </w:rPr>
      </w:pPr>
      <w:r w:rsidRPr="00366482">
        <w:rPr>
          <w:rFonts w:ascii="Arial Narrow" w:hAnsi="Arial Narrow"/>
          <w:sz w:val="20"/>
          <w:szCs w:val="20"/>
        </w:rPr>
        <w:t>La EPA concluyó que los estudios de Monsanto, incluidos los no publicados, eran "datos científicos razonablemente disponibles y relevantes" y decidió no esperar la publicación del inf</w:t>
      </w:r>
      <w:r>
        <w:rPr>
          <w:rFonts w:ascii="Arial Narrow" w:hAnsi="Arial Narrow"/>
          <w:sz w:val="20"/>
          <w:szCs w:val="20"/>
        </w:rPr>
        <w:t xml:space="preserve">orme de la IARC para revisar el </w:t>
      </w:r>
      <w:r w:rsidRPr="00366482">
        <w:rPr>
          <w:rFonts w:ascii="Arial Narrow" w:hAnsi="Arial Narrow"/>
          <w:sz w:val="20"/>
          <w:szCs w:val="20"/>
        </w:rPr>
        <w:t xml:space="preserve">peso de </w:t>
      </w:r>
      <w:r>
        <w:rPr>
          <w:rFonts w:ascii="Arial Narrow" w:hAnsi="Arial Narrow"/>
          <w:sz w:val="20"/>
          <w:szCs w:val="20"/>
        </w:rPr>
        <w:t xml:space="preserve">su </w:t>
      </w:r>
      <w:r w:rsidRPr="00366482">
        <w:rPr>
          <w:rFonts w:ascii="Arial Narrow" w:hAnsi="Arial Narrow"/>
          <w:sz w:val="20"/>
          <w:szCs w:val="20"/>
        </w:rPr>
        <w:t>evidencia.</w:t>
      </w:r>
      <w:r w:rsidR="00334EF2">
        <w:rPr>
          <w:rFonts w:ascii="Arial Narrow" w:hAnsi="Arial Narrow"/>
          <w:sz w:val="20"/>
          <w:szCs w:val="20"/>
        </w:rPr>
        <w:t xml:space="preserve"> </w:t>
      </w:r>
      <w:r w:rsidRPr="00366482">
        <w:rPr>
          <w:rFonts w:ascii="Arial Narrow" w:hAnsi="Arial Narrow"/>
          <w:sz w:val="20"/>
          <w:szCs w:val="20"/>
        </w:rPr>
        <w:lastRenderedPageBreak/>
        <w:t xml:space="preserve">Si bien la evaluación del riesgo de glifosato por parte de la EPA es controvertida en términos de salud pública, cumple con los requisitos del TPP con respecto al uso de "datos científicos" en la evaluación de riesgos. Dichas autorizaciones comerciales a menudo son controvertidas, debido a que gran parte de la información que las respalda se caracteriza como </w:t>
      </w:r>
      <w:r>
        <w:rPr>
          <w:rFonts w:ascii="Arial Narrow" w:hAnsi="Arial Narrow"/>
          <w:sz w:val="20"/>
          <w:szCs w:val="20"/>
        </w:rPr>
        <w:t xml:space="preserve">Información Empresarial Confidencial </w:t>
      </w:r>
      <w:r w:rsidR="00334EF2">
        <w:rPr>
          <w:rFonts w:ascii="Arial Narrow" w:hAnsi="Arial Narrow"/>
          <w:sz w:val="16"/>
          <w:szCs w:val="20"/>
        </w:rPr>
        <w:t>(26)</w:t>
      </w:r>
      <w:r w:rsidRPr="00366482">
        <w:rPr>
          <w:rFonts w:ascii="Arial Narrow" w:hAnsi="Arial Narrow"/>
          <w:sz w:val="20"/>
          <w:szCs w:val="20"/>
        </w:rPr>
        <w:t xml:space="preserve"> y, por lo tanto, no está "razonablemente disponible" para la característica de revisión por pares del método científico. Por lo tanto, las autoridades competentes deben tener derecho a adoptar medidas cautelares incluso cuando las medidas sanitarias y fitosanitarias se hayan ajustado a los requisitos del acuerdo comercial de estar "basadas en principios científicos", por mucho que los datos y estudios científicos no se consideren "razonablemente disponibles".</w:t>
      </w:r>
    </w:p>
    <w:p w14:paraId="2E6A912C" w14:textId="77777777" w:rsidR="00BF4F6F" w:rsidRPr="00366482" w:rsidRDefault="00BF4F6F" w:rsidP="0004171C">
      <w:pPr>
        <w:jc w:val="both"/>
        <w:rPr>
          <w:rFonts w:ascii="Arial Narrow" w:hAnsi="Arial Narrow"/>
          <w:sz w:val="20"/>
          <w:szCs w:val="20"/>
        </w:rPr>
      </w:pPr>
    </w:p>
    <w:p w14:paraId="495005CC" w14:textId="77777777" w:rsidR="00BF4F6F" w:rsidRPr="00366482" w:rsidRDefault="00BF4F6F" w:rsidP="0004171C">
      <w:pPr>
        <w:jc w:val="both"/>
        <w:rPr>
          <w:rFonts w:ascii="Arial Narrow" w:hAnsi="Arial Narrow"/>
          <w:b/>
          <w:sz w:val="20"/>
          <w:szCs w:val="20"/>
        </w:rPr>
      </w:pPr>
      <w:r w:rsidRPr="00366482">
        <w:rPr>
          <w:rFonts w:ascii="Arial Narrow" w:hAnsi="Arial Narrow"/>
          <w:b/>
          <w:sz w:val="20"/>
          <w:szCs w:val="20"/>
        </w:rPr>
        <w:t>Disposiciones de bienestar animal que mejoran los estándares en ambas regiones</w:t>
      </w:r>
    </w:p>
    <w:p w14:paraId="1DFB4185" w14:textId="77777777" w:rsidR="00BF4F6F" w:rsidRPr="00366482" w:rsidRDefault="00BF4F6F" w:rsidP="0004171C">
      <w:pPr>
        <w:jc w:val="both"/>
        <w:rPr>
          <w:rFonts w:ascii="Arial Narrow" w:hAnsi="Arial Narrow"/>
          <w:sz w:val="20"/>
          <w:szCs w:val="20"/>
        </w:rPr>
      </w:pPr>
    </w:p>
    <w:p w14:paraId="4B0D600F" w14:textId="77777777" w:rsidR="00BF4F6F" w:rsidRPr="00366482" w:rsidRDefault="00BF4F6F" w:rsidP="0004171C">
      <w:pPr>
        <w:jc w:val="both"/>
        <w:rPr>
          <w:rFonts w:ascii="Arial Narrow" w:hAnsi="Arial Narrow"/>
          <w:i/>
          <w:sz w:val="20"/>
          <w:szCs w:val="20"/>
        </w:rPr>
      </w:pPr>
      <w:r w:rsidRPr="00366482">
        <w:rPr>
          <w:rFonts w:ascii="Arial Narrow" w:hAnsi="Arial Narrow"/>
          <w:i/>
          <w:sz w:val="20"/>
          <w:szCs w:val="20"/>
        </w:rPr>
        <w:t>Recomendación</w:t>
      </w:r>
    </w:p>
    <w:p w14:paraId="5B2B09FF" w14:textId="77777777" w:rsidR="00BF4F6F" w:rsidRDefault="00BF4F6F" w:rsidP="0004171C">
      <w:pPr>
        <w:jc w:val="both"/>
        <w:rPr>
          <w:rFonts w:ascii="Arial Narrow" w:hAnsi="Arial Narrow"/>
          <w:sz w:val="20"/>
          <w:szCs w:val="20"/>
        </w:rPr>
      </w:pPr>
    </w:p>
    <w:p w14:paraId="1D2B60B8" w14:textId="77777777" w:rsidR="00BF4F6F" w:rsidRPr="00366482" w:rsidRDefault="00BF4F6F" w:rsidP="0004171C">
      <w:pPr>
        <w:jc w:val="both"/>
        <w:rPr>
          <w:rFonts w:ascii="Arial Narrow" w:hAnsi="Arial Narrow"/>
          <w:sz w:val="20"/>
          <w:szCs w:val="20"/>
        </w:rPr>
      </w:pPr>
      <w:r>
        <w:rPr>
          <w:rFonts w:ascii="Arial Narrow" w:hAnsi="Arial Narrow"/>
          <w:sz w:val="20"/>
          <w:szCs w:val="20"/>
        </w:rPr>
        <w:t xml:space="preserve">El </w:t>
      </w:r>
      <w:r w:rsidRPr="00366482">
        <w:rPr>
          <w:rFonts w:ascii="Arial Narrow" w:hAnsi="Arial Narrow"/>
          <w:sz w:val="20"/>
          <w:szCs w:val="20"/>
        </w:rPr>
        <w:t>TACD apoya el fortalecimiento de la legislación de bienestar</w:t>
      </w:r>
      <w:r>
        <w:rPr>
          <w:rFonts w:ascii="Arial Narrow" w:hAnsi="Arial Narrow"/>
          <w:sz w:val="20"/>
          <w:szCs w:val="20"/>
        </w:rPr>
        <w:t xml:space="preserve"> animal en la UE y los EE. UU. y</w:t>
      </w:r>
      <w:r w:rsidRPr="00366482">
        <w:rPr>
          <w:rFonts w:ascii="Arial Narrow" w:hAnsi="Arial Narrow"/>
          <w:sz w:val="20"/>
          <w:szCs w:val="20"/>
        </w:rPr>
        <w:t xml:space="preserve"> se opone a una carrera hacia </w:t>
      </w:r>
      <w:r>
        <w:rPr>
          <w:rFonts w:ascii="Arial Narrow" w:hAnsi="Arial Narrow"/>
          <w:sz w:val="20"/>
          <w:szCs w:val="20"/>
        </w:rPr>
        <w:t xml:space="preserve">abajo </w:t>
      </w:r>
      <w:r w:rsidRPr="00366482">
        <w:rPr>
          <w:rFonts w:ascii="Arial Narrow" w:hAnsi="Arial Narrow"/>
          <w:sz w:val="20"/>
          <w:szCs w:val="20"/>
        </w:rPr>
        <w:t xml:space="preserve">en cuestiones de bienestar animal. Es esencial que no se impida el camino para futuras reformas legislativas, se evite una mayor intensificación de la cría de animales, que las normas de bienestar animal no se debiliten y que las dos partes acuerden una protección vinculante en el bienestar animal. </w:t>
      </w:r>
      <w:r>
        <w:rPr>
          <w:rFonts w:ascii="Arial Narrow" w:hAnsi="Arial Narrow"/>
          <w:sz w:val="20"/>
          <w:szCs w:val="20"/>
        </w:rPr>
        <w:t xml:space="preserve">El </w:t>
      </w:r>
      <w:r w:rsidRPr="00366482">
        <w:rPr>
          <w:rFonts w:ascii="Arial Narrow" w:hAnsi="Arial Narrow"/>
          <w:sz w:val="20"/>
          <w:szCs w:val="20"/>
        </w:rPr>
        <w:t>TACD también propone que los Estados Unidos y la Comisión Europea colaboren para liderar el desarrollo de un Código de Ética de la Organización Mundial de Sanidad Animal en Bienestar Animal como un paso crucial hacia el progreso en el bienestar animal relacionado con el comercio.</w:t>
      </w:r>
    </w:p>
    <w:p w14:paraId="242A2798" w14:textId="77777777" w:rsidR="00BF4F6F" w:rsidRPr="00366482" w:rsidRDefault="00BF4F6F" w:rsidP="0004171C">
      <w:pPr>
        <w:jc w:val="both"/>
        <w:rPr>
          <w:rFonts w:ascii="Arial Narrow" w:hAnsi="Arial Narrow"/>
          <w:sz w:val="20"/>
          <w:szCs w:val="20"/>
        </w:rPr>
      </w:pPr>
    </w:p>
    <w:p w14:paraId="003DC744" w14:textId="77777777" w:rsidR="00BF4F6F" w:rsidRPr="00366482" w:rsidRDefault="00BF4F6F" w:rsidP="0004171C">
      <w:pPr>
        <w:jc w:val="both"/>
        <w:rPr>
          <w:rFonts w:ascii="Arial Narrow" w:hAnsi="Arial Narrow"/>
          <w:i/>
          <w:sz w:val="20"/>
          <w:szCs w:val="20"/>
        </w:rPr>
      </w:pPr>
      <w:r w:rsidRPr="00366482">
        <w:rPr>
          <w:rFonts w:ascii="Arial Narrow" w:hAnsi="Arial Narrow"/>
          <w:i/>
          <w:sz w:val="20"/>
          <w:szCs w:val="20"/>
        </w:rPr>
        <w:t xml:space="preserve">Antecedente </w:t>
      </w:r>
    </w:p>
    <w:p w14:paraId="5D123565" w14:textId="77777777" w:rsidR="00BF4F6F" w:rsidRPr="00366482" w:rsidRDefault="00BF4F6F" w:rsidP="0004171C">
      <w:pPr>
        <w:jc w:val="both"/>
        <w:rPr>
          <w:rFonts w:ascii="Arial Narrow" w:hAnsi="Arial Narrow"/>
          <w:sz w:val="20"/>
          <w:szCs w:val="20"/>
        </w:rPr>
      </w:pPr>
    </w:p>
    <w:p w14:paraId="1E975EA7" w14:textId="141EE96F" w:rsidR="00BF4F6F" w:rsidRPr="00366482" w:rsidRDefault="00BF4F6F" w:rsidP="0004171C">
      <w:pPr>
        <w:jc w:val="both"/>
        <w:rPr>
          <w:rFonts w:ascii="Arial Narrow" w:hAnsi="Arial Narrow"/>
          <w:sz w:val="20"/>
          <w:szCs w:val="20"/>
        </w:rPr>
      </w:pPr>
      <w:r w:rsidRPr="00366482">
        <w:rPr>
          <w:rFonts w:ascii="Arial Narrow" w:hAnsi="Arial Narrow"/>
          <w:sz w:val="20"/>
          <w:szCs w:val="20"/>
        </w:rPr>
        <w:t xml:space="preserve">La Comisión Europea tiene como objetivo cooperar más con los Estados Unidos en cuestiones relacionadas con el bienestar animal a través del TTIP (artículo 2.7). Propone un artículo completo sobre el tema (Art. 17) que pretende aumentar el intercambio de información, la colaboración en investigación y la creación de un grupo de trabajo sobre bienestar animal. Si bien la UE incluye en su propuesta el reconocimiento de los animales como "seres sensibles", como en el Artículo 13 del Tratado para el Funcionamiento de la Unión Europea (TFUE) </w:t>
      </w:r>
      <w:r w:rsidR="00334EF2">
        <w:rPr>
          <w:rFonts w:ascii="Arial Narrow" w:hAnsi="Arial Narrow"/>
          <w:sz w:val="16"/>
          <w:szCs w:val="20"/>
        </w:rPr>
        <w:t>(27)</w:t>
      </w:r>
      <w:r w:rsidRPr="00366482">
        <w:rPr>
          <w:rFonts w:ascii="Arial Narrow" w:hAnsi="Arial Narrow"/>
          <w:sz w:val="20"/>
          <w:szCs w:val="20"/>
        </w:rPr>
        <w:t>, las disposiciones propuestas de bienestar animal del TTIP son débiles, no vinculantes y no ejecutable. Además, el Artículo 17.2 incluye un compromiso para "intercambiar información, conocimientos especializados y experiencias en el campo del bienestar animal con el objetivo de alinear las normas reglamentarias relacionadas con la cría, tenencia, manejo, transporte y sacrificio de animales".</w:t>
      </w:r>
    </w:p>
    <w:p w14:paraId="3016F14E" w14:textId="77777777" w:rsidR="00BF4F6F" w:rsidRPr="00366482" w:rsidRDefault="00BF4F6F" w:rsidP="0004171C">
      <w:pPr>
        <w:jc w:val="both"/>
        <w:rPr>
          <w:rFonts w:ascii="Arial Narrow" w:hAnsi="Arial Narrow"/>
          <w:sz w:val="20"/>
          <w:szCs w:val="20"/>
        </w:rPr>
      </w:pPr>
    </w:p>
    <w:p w14:paraId="7B33FF7F" w14:textId="77777777" w:rsidR="00BF4F6F" w:rsidRPr="00366482" w:rsidRDefault="00BF4F6F" w:rsidP="0004171C">
      <w:pPr>
        <w:jc w:val="both"/>
        <w:rPr>
          <w:rFonts w:ascii="Arial Narrow" w:hAnsi="Arial Narrow"/>
          <w:sz w:val="20"/>
          <w:szCs w:val="20"/>
        </w:rPr>
      </w:pPr>
      <w:r w:rsidRPr="00366482">
        <w:rPr>
          <w:rFonts w:ascii="Arial Narrow" w:hAnsi="Arial Narrow"/>
          <w:sz w:val="20"/>
          <w:szCs w:val="20"/>
        </w:rPr>
        <w:t>Sin embargo, cualquier alineamiento de las normas crea una presión a la baja sobre la parte con los estándares más altos de bienestar animal, la UE en este caso. La UE cuenta con una importante legislación sobre animales de granja con directivas específicas para cada especie y una Directiva general sobre la protección de los animales de granja, así como un reglamento detallado sobre el transporte y la matanza. La UE también ha promulgado prohibiciones sobre algunos de los peores métodos de confinamiento, ha propuesto prohibir la clonación de animales para la producción de alimentos y ha prohibido el uso de hormonas y el uso de antibióticos como promotores del crecimiento en animales.</w:t>
      </w:r>
    </w:p>
    <w:p w14:paraId="14DD93E4" w14:textId="77777777" w:rsidR="00BF4F6F" w:rsidRPr="00366482" w:rsidRDefault="00BF4F6F" w:rsidP="0004171C">
      <w:pPr>
        <w:jc w:val="both"/>
        <w:rPr>
          <w:rFonts w:ascii="Arial Narrow" w:hAnsi="Arial Narrow"/>
          <w:sz w:val="20"/>
          <w:szCs w:val="20"/>
        </w:rPr>
      </w:pPr>
    </w:p>
    <w:p w14:paraId="137F42E9" w14:textId="71A8B673" w:rsidR="00BF4F6F" w:rsidRPr="00366482" w:rsidRDefault="00BF4F6F" w:rsidP="0004171C">
      <w:pPr>
        <w:jc w:val="both"/>
        <w:rPr>
          <w:rFonts w:ascii="Arial Narrow" w:hAnsi="Arial Narrow"/>
          <w:sz w:val="20"/>
          <w:szCs w:val="20"/>
        </w:rPr>
      </w:pPr>
      <w:r w:rsidRPr="00366482">
        <w:rPr>
          <w:rFonts w:ascii="Arial Narrow" w:hAnsi="Arial Narrow"/>
          <w:sz w:val="20"/>
          <w:szCs w:val="20"/>
        </w:rPr>
        <w:t>En los EE. UU., No existe una legislación federal de bienestar animal, aparte de la "Ley de bienestar animal" de 1966 que exime a los animales de granja. No existe una legislación federal que rija el bienestar de los animales mientras están en la granja y las disposiciones federales sobre matanza y transporte son mucho menos detalladas que la legislación de la UE (las cláusulas sobre matanza realmente eximen a las aves de corral). Algun</w:t>
      </w:r>
      <w:r>
        <w:rPr>
          <w:rFonts w:ascii="Arial Narrow" w:hAnsi="Arial Narrow"/>
          <w:sz w:val="20"/>
          <w:szCs w:val="20"/>
        </w:rPr>
        <w:t>os estados federales de los EE.UU. h</w:t>
      </w:r>
      <w:r w:rsidRPr="00366482">
        <w:rPr>
          <w:rFonts w:ascii="Arial Narrow" w:hAnsi="Arial Narrow"/>
          <w:sz w:val="20"/>
          <w:szCs w:val="20"/>
        </w:rPr>
        <w:t xml:space="preserve">an implementado legislaciones específicas relacionadas con algunos estándares de producción, como la prohibición de los huevos </w:t>
      </w:r>
      <w:r>
        <w:rPr>
          <w:rFonts w:ascii="Arial Narrow" w:hAnsi="Arial Narrow"/>
          <w:sz w:val="20"/>
          <w:szCs w:val="20"/>
        </w:rPr>
        <w:t xml:space="preserve">provenientes de animales confinados </w:t>
      </w:r>
      <w:r w:rsidRPr="00366482">
        <w:rPr>
          <w:rFonts w:ascii="Arial Narrow" w:hAnsi="Arial Narrow"/>
          <w:sz w:val="20"/>
          <w:szCs w:val="20"/>
        </w:rPr>
        <w:t>en batería en California o el tamaño mínimo de graneros en Oregón y Arizona</w:t>
      </w:r>
      <w:r w:rsidR="00334EF2">
        <w:rPr>
          <w:rFonts w:ascii="Arial Narrow" w:hAnsi="Arial Narrow"/>
          <w:sz w:val="20"/>
          <w:szCs w:val="20"/>
        </w:rPr>
        <w:t xml:space="preserve"> </w:t>
      </w:r>
      <w:r w:rsidR="00334EF2">
        <w:rPr>
          <w:rFonts w:ascii="Arial Narrow" w:hAnsi="Arial Narrow"/>
          <w:sz w:val="16"/>
          <w:szCs w:val="20"/>
        </w:rPr>
        <w:t>(28).</w:t>
      </w:r>
      <w:r w:rsidRPr="00366482">
        <w:rPr>
          <w:rFonts w:ascii="Arial Narrow" w:hAnsi="Arial Narrow"/>
          <w:sz w:val="20"/>
          <w:szCs w:val="20"/>
        </w:rPr>
        <w:t xml:space="preserve"> Al mismo tiempo, dos tercios de los consumidores estadounidenses consideran el bienestar animal como un aspecto importante de su decisión de compra </w:t>
      </w:r>
      <w:r w:rsidR="00334EF2">
        <w:rPr>
          <w:rFonts w:ascii="Arial Narrow" w:hAnsi="Arial Narrow"/>
          <w:sz w:val="20"/>
          <w:szCs w:val="20"/>
        </w:rPr>
        <w:t>(</w:t>
      </w:r>
      <w:r w:rsidR="00334EF2">
        <w:rPr>
          <w:rFonts w:ascii="Arial Narrow" w:hAnsi="Arial Narrow"/>
          <w:sz w:val="16"/>
          <w:szCs w:val="20"/>
        </w:rPr>
        <w:t>29).</w:t>
      </w:r>
      <w:r w:rsidRPr="00366482">
        <w:rPr>
          <w:rFonts w:ascii="Arial Narrow" w:hAnsi="Arial Narrow"/>
          <w:sz w:val="20"/>
          <w:szCs w:val="20"/>
        </w:rPr>
        <w:t xml:space="preserve"> Aunque no es probable que se produzca un cambio legislativo en un futuro cercano, aumentar la conciencia pública sobre el sufrimiento de los animales y la demanda de los consumidores de métodos de crianza humanitarios ha llevado a mejoras en las normas de bienestar animal por un número creciente de minoristas.</w:t>
      </w:r>
    </w:p>
    <w:p w14:paraId="14369726" w14:textId="77777777" w:rsidR="00BF4F6F" w:rsidRPr="00366482" w:rsidRDefault="00BF4F6F" w:rsidP="0004171C">
      <w:pPr>
        <w:jc w:val="both"/>
        <w:rPr>
          <w:rFonts w:ascii="Arial Narrow" w:hAnsi="Arial Narrow"/>
          <w:sz w:val="20"/>
          <w:szCs w:val="20"/>
        </w:rPr>
      </w:pPr>
    </w:p>
    <w:p w14:paraId="0D51509E" w14:textId="67EFE031" w:rsidR="00BF4F6F" w:rsidRDefault="00BF4F6F" w:rsidP="0004171C">
      <w:pPr>
        <w:jc w:val="both"/>
        <w:rPr>
          <w:rFonts w:ascii="Arial Narrow" w:hAnsi="Arial Narrow"/>
          <w:sz w:val="20"/>
          <w:szCs w:val="20"/>
        </w:rPr>
      </w:pPr>
      <w:r w:rsidRPr="00366482">
        <w:rPr>
          <w:rFonts w:ascii="Arial Narrow" w:hAnsi="Arial Narrow"/>
          <w:sz w:val="20"/>
          <w:szCs w:val="20"/>
        </w:rPr>
        <w:t>Dada</w:t>
      </w:r>
      <w:r>
        <w:rPr>
          <w:rFonts w:ascii="Arial Narrow" w:hAnsi="Arial Narrow"/>
          <w:sz w:val="20"/>
          <w:szCs w:val="20"/>
        </w:rPr>
        <w:t xml:space="preserve"> la falta de interés de los EE.UU. e</w:t>
      </w:r>
      <w:r w:rsidRPr="00366482">
        <w:rPr>
          <w:rFonts w:ascii="Arial Narrow" w:hAnsi="Arial Narrow"/>
          <w:sz w:val="20"/>
          <w:szCs w:val="20"/>
        </w:rPr>
        <w:t xml:space="preserve">n el bienestar animal relacionado con el comercio, como se refleja en la ausencia de cláusulas sobre bienestar animal en el TPP, la promulgación de normas más estrictas y vinculantes sobre bienestar animal será casi imposible. Los acuerdos comerciales tienden a favorecer los sistemas intensivos a gran escala dedicados a la producción de alimentos a un costo menor y con un potencial significativo para el sufrimiento de los animales. Queda por ver cómo las normas de la Organización Mundial de Sanidad Animal (OIE) afectarán las leyes estatales y de bienestar </w:t>
      </w:r>
      <w:r w:rsidRPr="00366482">
        <w:rPr>
          <w:rFonts w:ascii="Arial Narrow" w:hAnsi="Arial Narrow"/>
          <w:sz w:val="20"/>
          <w:szCs w:val="20"/>
        </w:rPr>
        <w:lastRenderedPageBreak/>
        <w:t>animal de la UE si las normas de la OIE se utilizan en una disputa TTIP para tratar de anular esas leyes. Por lo tanto, se prop</w:t>
      </w:r>
      <w:r>
        <w:rPr>
          <w:rFonts w:ascii="Arial Narrow" w:hAnsi="Arial Narrow"/>
          <w:sz w:val="20"/>
          <w:szCs w:val="20"/>
        </w:rPr>
        <w:t>one utilizar el</w:t>
      </w:r>
      <w:r w:rsidRPr="00366482">
        <w:rPr>
          <w:rFonts w:ascii="Arial Narrow" w:hAnsi="Arial Narrow"/>
          <w:sz w:val="20"/>
          <w:szCs w:val="20"/>
        </w:rPr>
        <w:t xml:space="preserve"> Código de ética de la OIE en Bienestar Animal en las decisiones de gestión de MS</w:t>
      </w:r>
      <w:r>
        <w:rPr>
          <w:rFonts w:ascii="Arial Narrow" w:hAnsi="Arial Narrow"/>
          <w:sz w:val="20"/>
          <w:szCs w:val="20"/>
        </w:rPr>
        <w:t>y</w:t>
      </w:r>
      <w:r w:rsidRPr="00366482">
        <w:rPr>
          <w:rFonts w:ascii="Arial Narrow" w:hAnsi="Arial Narrow"/>
          <w:sz w:val="20"/>
          <w:szCs w:val="20"/>
        </w:rPr>
        <w:t>F, ya que las normas y códigos de prácticas de la OIE son vinculantes para la UE y los EE. UU., A menos que presenten una reserva durante su aprobación.</w:t>
      </w:r>
    </w:p>
    <w:p w14:paraId="7878AE7C" w14:textId="0FF7277B" w:rsidR="00FA6BEB" w:rsidRDefault="00FA6BEB" w:rsidP="0004171C">
      <w:pPr>
        <w:jc w:val="both"/>
        <w:rPr>
          <w:rFonts w:ascii="Arial Narrow" w:hAnsi="Arial Narrow"/>
          <w:sz w:val="20"/>
          <w:szCs w:val="20"/>
        </w:rPr>
      </w:pPr>
      <w:r w:rsidRPr="008F659C">
        <w:rPr>
          <w:rFonts w:ascii="Arial Narrow" w:hAnsi="Arial Narrow"/>
          <w:sz w:val="20"/>
          <w:szCs w:val="20"/>
        </w:rPr>
        <w:t>Translation credit</w:t>
      </w:r>
      <w:r>
        <w:rPr>
          <w:rFonts w:ascii="Arial Narrow" w:hAnsi="Arial Narrow"/>
          <w:sz w:val="20"/>
          <w:szCs w:val="20"/>
        </w:rPr>
        <w:t xml:space="preserve">: </w:t>
      </w:r>
      <w:r w:rsidRPr="008F659C">
        <w:rPr>
          <w:rFonts w:ascii="Arial Narrow" w:hAnsi="Arial Narrow"/>
          <w:i/>
          <w:sz w:val="20"/>
          <w:szCs w:val="20"/>
        </w:rPr>
        <w:t>Traducido por el Dr. Alejandro Villamar Calderón</w:t>
      </w:r>
    </w:p>
    <w:p w14:paraId="038E7FA4" w14:textId="77777777" w:rsidR="00105A97" w:rsidRDefault="00105A97"/>
    <w:p w14:paraId="0CC35993" w14:textId="77777777" w:rsidR="00105A97" w:rsidRDefault="0004171C">
      <w:r>
        <w:t>Referencias</w:t>
      </w:r>
    </w:p>
    <w:p w14:paraId="3D500936" w14:textId="77777777" w:rsidR="0004171C" w:rsidRDefault="0004171C"/>
    <w:p w14:paraId="427E27EC" w14:textId="3DA3B19F" w:rsidR="00964160" w:rsidRDefault="003F0E25"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1</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http://tacd.org/wp-content/uploads/2013/09/TACD-FOOD-Resolution-on-the-approach-to-food-and-nutrition-related- issues-in-the-TTIP.pdf </w:t>
      </w:r>
    </w:p>
    <w:p w14:paraId="7CCE5143" w14:textId="0038C531" w:rsidR="00964160" w:rsidRDefault="003F0E25"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2</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1754B0"/>
          <w:sz w:val="18"/>
          <w:szCs w:val="18"/>
          <w:lang w:val="es-ES"/>
        </w:rPr>
        <w:t xml:space="preserve">http://www.iatp.org/files/2014.07_TTIP_SPS_Chapter_0.pdf </w:t>
      </w:r>
      <w:r w:rsidR="0004171C" w:rsidRPr="0004171C">
        <w:rPr>
          <w:rFonts w:ascii="Arial Narrow" w:hAnsi="Arial Narrow" w:cs="Calibri"/>
          <w:color w:val="auto"/>
          <w:sz w:val="18"/>
          <w:szCs w:val="18"/>
          <w:lang w:val="es-ES"/>
        </w:rPr>
        <w:t xml:space="preserve">An analysis of this leaked SPS chapter negotiating proposal is at </w:t>
      </w:r>
      <w:hyperlink r:id="rId7" w:history="1">
        <w:r w:rsidR="00964160" w:rsidRPr="005E5BD6">
          <w:rPr>
            <w:rStyle w:val="Hyperlink"/>
            <w:rFonts w:ascii="Arial Narrow" w:hAnsi="Arial Narrow" w:cs="Calibri"/>
            <w:sz w:val="18"/>
            <w:szCs w:val="18"/>
            <w:lang w:val="es-ES"/>
          </w:rPr>
          <w:t>http://www.iatp.org/files/2014_09_02_TTIP_SPS_Analysis.pdf</w:t>
        </w:r>
      </w:hyperlink>
    </w:p>
    <w:p w14:paraId="121070F4" w14:textId="55E1693E" w:rsidR="00964160" w:rsidRDefault="0004171C" w:rsidP="0004171C">
      <w:pPr>
        <w:widowControl w:val="0"/>
        <w:autoSpaceDE w:val="0"/>
        <w:autoSpaceDN w:val="0"/>
        <w:adjustRightInd w:val="0"/>
        <w:rPr>
          <w:rFonts w:ascii="Arial Narrow" w:hAnsi="Arial Narrow" w:cs="Calibri"/>
          <w:color w:val="auto"/>
          <w:sz w:val="18"/>
          <w:szCs w:val="18"/>
          <w:lang w:val="es-ES"/>
        </w:rPr>
      </w:pPr>
      <w:r w:rsidRPr="0004171C">
        <w:rPr>
          <w:rFonts w:ascii="Arial Narrow" w:hAnsi="Arial Narrow" w:cs="Calibri"/>
          <w:color w:val="auto"/>
          <w:sz w:val="18"/>
          <w:szCs w:val="18"/>
          <w:lang w:val="es-ES"/>
        </w:rPr>
        <w:t> </w:t>
      </w:r>
      <w:r w:rsidR="003F0E25">
        <w:rPr>
          <w:rFonts w:ascii="Arial Narrow" w:hAnsi="Arial Narrow" w:cs="Calibri"/>
          <w:color w:val="auto"/>
          <w:position w:val="12"/>
          <w:sz w:val="18"/>
          <w:szCs w:val="18"/>
          <w:lang w:val="es-ES"/>
        </w:rPr>
        <w:t>3</w:t>
      </w:r>
      <w:r w:rsidRPr="0004171C">
        <w:rPr>
          <w:rFonts w:ascii="Arial Narrow" w:hAnsi="Arial Narrow" w:cs="Calibri"/>
          <w:color w:val="auto"/>
          <w:position w:val="12"/>
          <w:sz w:val="18"/>
          <w:szCs w:val="18"/>
          <w:lang w:val="es-ES"/>
        </w:rPr>
        <w:t xml:space="preserve"> </w:t>
      </w:r>
      <w:r w:rsidRPr="0004171C">
        <w:rPr>
          <w:rFonts w:ascii="Arial Narrow" w:hAnsi="Arial Narrow" w:cs="Calibri"/>
          <w:color w:val="auto"/>
          <w:sz w:val="18"/>
          <w:szCs w:val="18"/>
          <w:lang w:val="es-ES"/>
        </w:rPr>
        <w:t>http://tacd.org/wp-content/uploads/2015/06/TACD-letter-to-President-Obama.pdf </w:t>
      </w:r>
    </w:p>
    <w:p w14:paraId="1BC9ECA0" w14:textId="3C81CC48" w:rsidR="00964160" w:rsidRDefault="003F0E25"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4</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http://trade.ec.europa.eu/doclib/docs/2015/january/tradoc_153026.pdf http://trade.ec.europa.eu/doclib/docs/2015/february/tradoc_153120.pdf </w:t>
      </w:r>
    </w:p>
    <w:p w14:paraId="2C878181" w14:textId="3C9DC4B0" w:rsidR="00964160" w:rsidRDefault="003F0E25"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5</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https://wikileaks.org/tpp-final/7-Sanitary-and-Phytosanitary-Measures- Chapter/7.%20Sanitary%20and%20Phytosanitary%20Measures%20Chapter.pdf </w:t>
      </w:r>
    </w:p>
    <w:p w14:paraId="6580015C" w14:textId="22FB0589" w:rsidR="00964160" w:rsidRDefault="003F0E25"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6</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The budgets and mandates of U.S. agencies with statutory SPS obligations are under sustained attack, often by TTIP proponents. E.g. Ronald White, “Congress’ Latest Assault on the EPA,” Center for Effective Government, July 14, 2014. </w:t>
      </w:r>
      <w:r w:rsidR="0004171C" w:rsidRPr="0004171C">
        <w:rPr>
          <w:rFonts w:ascii="Arial Narrow" w:hAnsi="Arial Narrow" w:cs="Calibri"/>
          <w:color w:val="1754B0"/>
          <w:sz w:val="18"/>
          <w:szCs w:val="18"/>
          <w:lang w:val="es-ES"/>
        </w:rPr>
        <w:t xml:space="preserve">http://www.foreffectivegov.org/blog/congresss-latest-assault-epa </w:t>
      </w:r>
      <w:r w:rsidR="0004171C" w:rsidRPr="0004171C">
        <w:rPr>
          <w:rFonts w:ascii="Arial Narrow" w:hAnsi="Arial Narrow" w:cs="Calibri"/>
          <w:color w:val="auto"/>
          <w:sz w:val="18"/>
          <w:szCs w:val="18"/>
          <w:lang w:val="es-ES"/>
        </w:rPr>
        <w:t xml:space="preserve">Lydia Zuraw, “Congress Wants FDA to Drop Agency’s Push for FSMA User Fees,” </w:t>
      </w:r>
      <w:r w:rsidR="0004171C" w:rsidRPr="0004171C">
        <w:rPr>
          <w:rFonts w:ascii="Arial Narrow" w:hAnsi="Arial Narrow" w:cs="Times"/>
          <w:color w:val="auto"/>
          <w:sz w:val="18"/>
          <w:szCs w:val="18"/>
          <w:lang w:val="es-ES"/>
        </w:rPr>
        <w:t xml:space="preserve">Food Safety News, </w:t>
      </w:r>
      <w:r w:rsidR="0004171C" w:rsidRPr="0004171C">
        <w:rPr>
          <w:rFonts w:ascii="Arial Narrow" w:hAnsi="Arial Narrow" w:cs="Calibri"/>
          <w:color w:val="auto"/>
          <w:sz w:val="18"/>
          <w:szCs w:val="18"/>
          <w:lang w:val="es-ES"/>
        </w:rPr>
        <w:t xml:space="preserve">August 29, 2014. Lydia Wheeler, “House Dems ask agencies to request full funding for FDA,” </w:t>
      </w:r>
      <w:r w:rsidR="0004171C" w:rsidRPr="0004171C">
        <w:rPr>
          <w:rFonts w:ascii="Arial Narrow" w:hAnsi="Arial Narrow" w:cs="Times"/>
          <w:color w:val="auto"/>
          <w:sz w:val="18"/>
          <w:szCs w:val="18"/>
          <w:lang w:val="es-ES"/>
        </w:rPr>
        <w:t xml:space="preserve">The Hill, </w:t>
      </w:r>
      <w:r w:rsidR="0004171C" w:rsidRPr="0004171C">
        <w:rPr>
          <w:rFonts w:ascii="Arial Narrow" w:hAnsi="Arial Narrow" w:cs="Calibri"/>
          <w:color w:val="auto"/>
          <w:sz w:val="18"/>
          <w:szCs w:val="18"/>
          <w:lang w:val="es-ES"/>
        </w:rPr>
        <w:t xml:space="preserve">September 2, 2015. </w:t>
      </w:r>
      <w:r w:rsidR="0004171C" w:rsidRPr="0004171C">
        <w:rPr>
          <w:rFonts w:ascii="Arial Narrow" w:hAnsi="Arial Narrow" w:cs="Calibri"/>
          <w:color w:val="1754B0"/>
          <w:sz w:val="18"/>
          <w:szCs w:val="18"/>
          <w:lang w:val="es-ES"/>
        </w:rPr>
        <w:t>http://thehill.com/regulation/252542-house-dems-ask-agencies-to-request- full-funding-for-fda </w:t>
      </w:r>
    </w:p>
    <w:p w14:paraId="2114DA4D" w14:textId="77777777" w:rsidR="006C691E" w:rsidRDefault="003F0E25"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7</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“Food Safety: Additional Actions Needed to Help FDA Ensure the Safety of Imported Food,” Highlights, General Accountability Office, February 27, 2015. </w:t>
      </w:r>
      <w:r w:rsidR="0004171C" w:rsidRPr="0004171C">
        <w:rPr>
          <w:rFonts w:ascii="Arial Narrow" w:hAnsi="Arial Narrow" w:cs="Calibri"/>
          <w:color w:val="1754B0"/>
          <w:sz w:val="18"/>
          <w:szCs w:val="18"/>
          <w:lang w:val="es-ES"/>
        </w:rPr>
        <w:t>http://www.gao.gov/products/GAO-15-183 </w:t>
      </w:r>
    </w:p>
    <w:p w14:paraId="6BD0184F" w14:textId="77777777" w:rsidR="006C691E"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8</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Cite the Public Citizen analysis of ISDS causes of action </w:t>
      </w:r>
    </w:p>
    <w:p w14:paraId="2A73AC1B" w14:textId="77777777" w:rsidR="006C691E"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9</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“Novel TPP Provisions Aim to Ag Biotech ‘LLP’ Rejections,” </w:t>
      </w:r>
      <w:r w:rsidR="0004171C" w:rsidRPr="0004171C">
        <w:rPr>
          <w:rFonts w:ascii="Arial Narrow" w:hAnsi="Arial Narrow" w:cs="Times"/>
          <w:color w:val="auto"/>
          <w:sz w:val="18"/>
          <w:szCs w:val="18"/>
          <w:lang w:val="es-ES"/>
        </w:rPr>
        <w:t xml:space="preserve">Inside U.S. Trade, </w:t>
      </w:r>
      <w:r w:rsidR="0004171C" w:rsidRPr="0004171C">
        <w:rPr>
          <w:rFonts w:ascii="Arial Narrow" w:hAnsi="Arial Narrow" w:cs="Calibri"/>
          <w:color w:val="auto"/>
          <w:sz w:val="18"/>
          <w:szCs w:val="18"/>
          <w:lang w:val="es-ES"/>
        </w:rPr>
        <w:t>November 17, 2015. </w:t>
      </w:r>
    </w:p>
    <w:p w14:paraId="7AC11BE8" w14:textId="76827DF5"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10</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Doug Gurian Sherman, “The Next Phase of Genetic Engineering: A Flood of New Crops Evading Environmental Regulation,” </w:t>
      </w:r>
      <w:r w:rsidR="0004171C" w:rsidRPr="0004171C">
        <w:rPr>
          <w:rFonts w:ascii="Arial Narrow" w:hAnsi="Arial Narrow" w:cs="Times"/>
          <w:color w:val="auto"/>
          <w:sz w:val="18"/>
          <w:szCs w:val="18"/>
          <w:lang w:val="es-ES"/>
        </w:rPr>
        <w:t xml:space="preserve">Civil Eats, </w:t>
      </w:r>
      <w:r w:rsidR="0004171C" w:rsidRPr="0004171C">
        <w:rPr>
          <w:rFonts w:ascii="Arial Narrow" w:hAnsi="Arial Narrow" w:cs="Calibri"/>
          <w:color w:val="auto"/>
          <w:sz w:val="18"/>
          <w:szCs w:val="18"/>
          <w:lang w:val="es-ES"/>
        </w:rPr>
        <w:t xml:space="preserve">January 27, 2015. </w:t>
      </w:r>
      <w:r w:rsidR="0004171C" w:rsidRPr="0004171C">
        <w:rPr>
          <w:rFonts w:ascii="Arial Narrow" w:hAnsi="Arial Narrow" w:cs="Calibri"/>
          <w:color w:val="1754B0"/>
          <w:sz w:val="18"/>
          <w:szCs w:val="18"/>
          <w:lang w:val="es-ES"/>
        </w:rPr>
        <w:t>http://civileats.com/2015/01/27/the-next-phase-of-genetic-engineering-a-flood- of-new-crops-evading-environmental-regulation/ </w:t>
      </w:r>
    </w:p>
    <w:p w14:paraId="5D588C4A" w14:textId="7D90909E" w:rsidR="00964160"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11</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Sarah R. Carter et al., “Synthetic Biology and the U.S. Biotechnology Regulatory System: Challenges and Options,” J. Craig Venter Institute, May 2014, 24. </w:t>
      </w:r>
      <w:r w:rsidR="0004171C" w:rsidRPr="0004171C">
        <w:rPr>
          <w:rFonts w:ascii="Arial Narrow" w:hAnsi="Arial Narrow" w:cs="Calibri"/>
          <w:color w:val="1754B0"/>
          <w:sz w:val="18"/>
          <w:szCs w:val="18"/>
          <w:lang w:val="es-ES"/>
        </w:rPr>
        <w:t xml:space="preserve">http://www.jcvi.org/cms/fileadmin/site/research/projects/synthetic-biology-andthe-us- regulatory-system/full-report.pdf </w:t>
      </w:r>
      <w:r w:rsidR="0004171C" w:rsidRPr="0004171C">
        <w:rPr>
          <w:rFonts w:ascii="Arial Narrow" w:hAnsi="Arial Narrow" w:cs="Calibri"/>
          <w:color w:val="auto"/>
          <w:sz w:val="18"/>
          <w:szCs w:val="18"/>
          <w:lang w:val="es-ES"/>
        </w:rPr>
        <w:t>. </w:t>
      </w:r>
    </w:p>
    <w:p w14:paraId="290ADA36" w14:textId="5955CDB9"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12</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1754B0"/>
          <w:sz w:val="18"/>
          <w:szCs w:val="18"/>
          <w:lang w:val="es-ES"/>
        </w:rPr>
        <w:t>http://ec.europa.eu/health/scientific_committees/emerging/docs/scenihr_o_048.pdf at 6. </w:t>
      </w:r>
    </w:p>
    <w:p w14:paraId="20620F9A" w14:textId="5FBBAAD6"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13</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E.g. Helen Bottemiller, “Consumer Groups Ask USDA to Halt Pilot Program to Lessen Canadian Border Inspection,” </w:t>
      </w:r>
      <w:r w:rsidR="0004171C" w:rsidRPr="0004171C">
        <w:rPr>
          <w:rFonts w:ascii="Arial Narrow" w:hAnsi="Arial Narrow" w:cs="Times"/>
          <w:color w:val="auto"/>
          <w:sz w:val="18"/>
          <w:szCs w:val="18"/>
          <w:lang w:val="es-ES"/>
        </w:rPr>
        <w:t xml:space="preserve">Food Safety News, </w:t>
      </w:r>
      <w:r w:rsidR="0004171C" w:rsidRPr="0004171C">
        <w:rPr>
          <w:rFonts w:ascii="Arial Narrow" w:hAnsi="Arial Narrow" w:cs="Calibri"/>
          <w:color w:val="auto"/>
          <w:sz w:val="18"/>
          <w:szCs w:val="18"/>
          <w:lang w:val="es-ES"/>
        </w:rPr>
        <w:t xml:space="preserve">September 19, 2012. </w:t>
      </w:r>
      <w:r w:rsidR="0004171C" w:rsidRPr="0004171C">
        <w:rPr>
          <w:rFonts w:ascii="Arial Narrow" w:hAnsi="Arial Narrow" w:cs="Calibri"/>
          <w:color w:val="1754B0"/>
          <w:sz w:val="18"/>
          <w:szCs w:val="18"/>
          <w:lang w:val="es-ES"/>
        </w:rPr>
        <w:t>http://www.foodsafetynews.com/2012/09/consumer-groups-as-usda-to-halt-pilot- program-to-lessen-canadian-border-inspection/#.VlvdE3arS1s </w:t>
      </w:r>
    </w:p>
    <w:p w14:paraId="6CFD5372" w14:textId="390FD7BF" w:rsidR="00964160"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14</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“Glyphosate and Cancer Risk: Frequently Asked Questions,” Center for Food Safety, May 2015. http://www.centerforfoodsafety.org/files/glyphosate-faq_64013.pdf </w:t>
      </w:r>
    </w:p>
    <w:p w14:paraId="4D7727B6" w14:textId="5FA4C3DE" w:rsidR="00964160"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15</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http://www.webmd.com/diabetes/endocrine-system-disorders </w:t>
      </w:r>
    </w:p>
    <w:p w14:paraId="6F3B4F26" w14:textId="152315EB" w:rsidR="00964160"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16</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http://www.macmillan.org.uk/Cancerinformation/Cancertypes/Endocrine/Endocrinetumours.aspx </w:t>
      </w:r>
    </w:p>
    <w:p w14:paraId="5158636F" w14:textId="31DBAD80"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17</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Sharon Lerner, “EPA Uses Monsanto’s Research to Give RoundUp a Pass,” </w:t>
      </w:r>
      <w:r w:rsidR="0004171C" w:rsidRPr="0004171C">
        <w:rPr>
          <w:rFonts w:ascii="Arial Narrow" w:hAnsi="Arial Narrow" w:cs="Times"/>
          <w:color w:val="auto"/>
          <w:sz w:val="18"/>
          <w:szCs w:val="18"/>
          <w:lang w:val="es-ES"/>
        </w:rPr>
        <w:t xml:space="preserve">The Intercept, </w:t>
      </w:r>
      <w:r w:rsidR="0004171C" w:rsidRPr="0004171C">
        <w:rPr>
          <w:rFonts w:ascii="Arial Narrow" w:hAnsi="Arial Narrow" w:cs="Calibri"/>
          <w:color w:val="auto"/>
          <w:sz w:val="18"/>
          <w:szCs w:val="18"/>
          <w:lang w:val="es-ES"/>
        </w:rPr>
        <w:t xml:space="preserve">November 3, 2015. </w:t>
      </w:r>
      <w:r w:rsidR="0004171C" w:rsidRPr="0004171C">
        <w:rPr>
          <w:rFonts w:ascii="Arial Narrow" w:hAnsi="Arial Narrow" w:cs="Calibri"/>
          <w:color w:val="1754B0"/>
          <w:sz w:val="18"/>
          <w:szCs w:val="18"/>
          <w:lang w:val="es-ES"/>
        </w:rPr>
        <w:t>https://theintercept.com/2015/11/03/epa-used-monsanto-funded-research/ </w:t>
      </w:r>
    </w:p>
    <w:p w14:paraId="46EB7244" w14:textId="23021545" w:rsidR="00964160"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18</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1754B0"/>
          <w:sz w:val="18"/>
          <w:szCs w:val="18"/>
          <w:lang w:val="es-ES"/>
        </w:rPr>
        <w:t xml:space="preserve">http://www.epa.gov/sites/production/files/2015-06/documents/glyphosate-417300_2015-06- 29_txr0057175.pdf, </w:t>
      </w:r>
      <w:r w:rsidR="0004171C" w:rsidRPr="0004171C">
        <w:rPr>
          <w:rFonts w:ascii="Arial Narrow" w:hAnsi="Arial Narrow" w:cs="Calibri"/>
          <w:color w:val="auto"/>
          <w:sz w:val="18"/>
          <w:szCs w:val="18"/>
          <w:lang w:val="es-ES"/>
        </w:rPr>
        <w:t>at 62. </w:t>
      </w:r>
    </w:p>
    <w:p w14:paraId="518B657B" w14:textId="1D3A900B"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19</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1754B0"/>
          <w:sz w:val="18"/>
          <w:szCs w:val="18"/>
          <w:lang w:val="es-ES"/>
        </w:rPr>
        <w:t>http://www.globalresearch.ca/international-agency-for-research-on-cancers-full-report-on-glyphosate-monsantos- roundup/5465798 </w:t>
      </w:r>
    </w:p>
    <w:p w14:paraId="6BC10429" w14:textId="528C6FDC"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20</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Clare Robinson, “Monsanto’s RoundUp (glyphosate) Narrowly Missed Being Classified as Known Human Carcinogen," </w:t>
      </w:r>
      <w:r w:rsidR="0004171C" w:rsidRPr="0004171C">
        <w:rPr>
          <w:rFonts w:ascii="Arial Narrow" w:hAnsi="Arial Narrow" w:cs="Times"/>
          <w:color w:val="auto"/>
          <w:sz w:val="18"/>
          <w:szCs w:val="18"/>
          <w:lang w:val="es-ES"/>
        </w:rPr>
        <w:t xml:space="preserve">GM Watch, </w:t>
      </w:r>
      <w:r w:rsidR="0004171C" w:rsidRPr="0004171C">
        <w:rPr>
          <w:rFonts w:ascii="Arial Narrow" w:hAnsi="Arial Narrow" w:cs="Calibri"/>
          <w:color w:val="auto"/>
          <w:sz w:val="18"/>
          <w:szCs w:val="18"/>
          <w:lang w:val="es-ES"/>
        </w:rPr>
        <w:t xml:space="preserve">August 13, 2015. </w:t>
      </w:r>
      <w:r w:rsidR="0004171C" w:rsidRPr="0004171C">
        <w:rPr>
          <w:rFonts w:ascii="Arial Narrow" w:hAnsi="Arial Narrow" w:cs="Calibri"/>
          <w:color w:val="1754B0"/>
          <w:sz w:val="18"/>
          <w:szCs w:val="18"/>
          <w:lang w:val="es-ES"/>
        </w:rPr>
        <w:t>http://www.globalresearch.ca/monsantos-roundup-glyphosate-narrowly-missed-being-classed- as-known-human-carcinogen/5469093 </w:t>
      </w:r>
    </w:p>
    <w:p w14:paraId="66C988FC" w14:textId="4E194C23" w:rsidR="00964160" w:rsidRDefault="006C691E" w:rsidP="0004171C">
      <w:pPr>
        <w:widowControl w:val="0"/>
        <w:autoSpaceDE w:val="0"/>
        <w:autoSpaceDN w:val="0"/>
        <w:adjustRightInd w:val="0"/>
        <w:rPr>
          <w:rFonts w:ascii="Arial Narrow" w:hAnsi="Arial Narrow" w:cs="Times"/>
          <w:color w:val="auto"/>
          <w:sz w:val="18"/>
          <w:szCs w:val="18"/>
          <w:lang w:val="es-ES"/>
        </w:rPr>
      </w:pPr>
      <w:r>
        <w:rPr>
          <w:rFonts w:ascii="Arial Narrow" w:hAnsi="Arial Narrow" w:cs="Calibri"/>
          <w:color w:val="auto"/>
          <w:position w:val="12"/>
          <w:sz w:val="18"/>
          <w:szCs w:val="18"/>
          <w:lang w:val="es-ES"/>
        </w:rPr>
        <w:t>21</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“Glyphosate and Cancer Risk: Frequently Asked Questions,” </w:t>
      </w:r>
      <w:r w:rsidR="0004171C" w:rsidRPr="0004171C">
        <w:rPr>
          <w:rFonts w:ascii="Arial Narrow" w:hAnsi="Arial Narrow" w:cs="Times"/>
          <w:color w:val="auto"/>
          <w:sz w:val="18"/>
          <w:szCs w:val="18"/>
          <w:lang w:val="es-ES"/>
        </w:rPr>
        <w:t>op cit. </w:t>
      </w:r>
    </w:p>
    <w:p w14:paraId="5C99218F" w14:textId="4ADE30A6" w:rsidR="00964160"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lastRenderedPageBreak/>
        <w:t>22</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Zen L. Honeycutt, “EPA Stalling on Glyphosate Decision Is Harmful to America,” </w:t>
      </w:r>
      <w:r w:rsidR="0004171C" w:rsidRPr="0004171C">
        <w:rPr>
          <w:rFonts w:ascii="Arial Narrow" w:hAnsi="Arial Narrow" w:cs="Times"/>
          <w:color w:val="auto"/>
          <w:sz w:val="18"/>
          <w:szCs w:val="18"/>
          <w:lang w:val="es-ES"/>
        </w:rPr>
        <w:t xml:space="preserve">Huffington Post, </w:t>
      </w:r>
      <w:r w:rsidR="0004171C" w:rsidRPr="0004171C">
        <w:rPr>
          <w:rFonts w:ascii="Arial Narrow" w:hAnsi="Arial Narrow" w:cs="Calibri"/>
          <w:color w:val="auto"/>
          <w:sz w:val="18"/>
          <w:szCs w:val="18"/>
          <w:lang w:val="es-ES"/>
        </w:rPr>
        <w:t>December 11, 2015. http://www.huffingtonpost.com/zen-l-honeycutt/epa-stalling-of-glyphosat_b_8744692.html </w:t>
      </w:r>
    </w:p>
    <w:p w14:paraId="79A94802" w14:textId="6F72CC84" w:rsidR="00964160" w:rsidRDefault="006C691E" w:rsidP="0004171C">
      <w:pPr>
        <w:widowControl w:val="0"/>
        <w:autoSpaceDE w:val="0"/>
        <w:autoSpaceDN w:val="0"/>
        <w:adjustRightInd w:val="0"/>
        <w:rPr>
          <w:rFonts w:ascii="Arial Narrow" w:hAnsi="Arial Narrow" w:cs="Calibri"/>
          <w:color w:val="auto"/>
          <w:sz w:val="18"/>
          <w:szCs w:val="18"/>
          <w:lang w:val="es-ES"/>
        </w:rPr>
      </w:pPr>
      <w:r>
        <w:rPr>
          <w:rFonts w:ascii="Arial Narrow" w:hAnsi="Arial Narrow" w:cs="Calibri"/>
          <w:color w:val="auto"/>
          <w:position w:val="12"/>
          <w:sz w:val="18"/>
          <w:szCs w:val="18"/>
          <w:lang w:val="es-ES"/>
        </w:rPr>
        <w:t>23</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Jennifer Sass, “Glyphosate—IARC Got It Right, EFSA Got It from Monsanto,” National Defense Resource Council, November 30, 2015. http://switchboard.nrdc.org/blogs/jsass/glyphosate_-_iarc_got_it_right.html </w:t>
      </w:r>
    </w:p>
    <w:p w14:paraId="6E3C657E" w14:textId="7F8D324F"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24</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“Open Letter: Review of the Carcinogenicity of Glyphosate by EFSA and BfR,” European Food Safety Authority, January 13, 2016. </w:t>
      </w:r>
      <w:hyperlink r:id="rId8" w:history="1">
        <w:r w:rsidR="00964160" w:rsidRPr="005E5BD6">
          <w:rPr>
            <w:rStyle w:val="Hyperlink"/>
            <w:rFonts w:ascii="Arial Narrow" w:hAnsi="Arial Narrow" w:cs="Calibri"/>
            <w:sz w:val="18"/>
            <w:szCs w:val="18"/>
            <w:lang w:val="es-ES"/>
          </w:rPr>
          <w:t>http://www.efsa.europa.eu/sites/default/files/EFSA_response_Prof_Portier.pdf</w:t>
        </w:r>
      </w:hyperlink>
      <w:r w:rsidR="0004171C" w:rsidRPr="0004171C">
        <w:rPr>
          <w:rFonts w:ascii="Arial Narrow" w:hAnsi="Arial Narrow" w:cs="Calibri"/>
          <w:color w:val="1754B0"/>
          <w:sz w:val="18"/>
          <w:szCs w:val="18"/>
          <w:lang w:val="es-ES"/>
        </w:rPr>
        <w:t xml:space="preserve"> </w:t>
      </w:r>
    </w:p>
    <w:p w14:paraId="1E0E7ADA" w14:textId="0C4C64BE" w:rsidR="0004171C" w:rsidRPr="0004171C" w:rsidRDefault="006C691E" w:rsidP="0004171C">
      <w:pPr>
        <w:widowControl w:val="0"/>
        <w:autoSpaceDE w:val="0"/>
        <w:autoSpaceDN w:val="0"/>
        <w:adjustRightInd w:val="0"/>
        <w:rPr>
          <w:rFonts w:ascii="Arial Narrow" w:hAnsi="Arial Narrow" w:cs="Times"/>
          <w:color w:val="auto"/>
          <w:sz w:val="18"/>
          <w:szCs w:val="18"/>
          <w:lang w:val="es-ES"/>
        </w:rPr>
      </w:pPr>
      <w:r>
        <w:rPr>
          <w:rFonts w:ascii="Arial Narrow" w:hAnsi="Arial Narrow" w:cs="Calibri"/>
          <w:color w:val="auto"/>
          <w:position w:val="12"/>
          <w:sz w:val="18"/>
          <w:szCs w:val="18"/>
          <w:lang w:val="es-ES"/>
        </w:rPr>
        <w:t>25</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1C1A1A"/>
          <w:sz w:val="18"/>
          <w:szCs w:val="18"/>
          <w:lang w:val="es-ES"/>
        </w:rPr>
        <w:t>The EFSA letter also states that it has supplied its information to the World Health Organization/Food and Agriculture Organization Pesticide Residues expert group, which is scheduled to publish its assessment of</w:t>
      </w:r>
      <w:r w:rsidR="00964160">
        <w:rPr>
          <w:rFonts w:ascii="Arial Narrow" w:hAnsi="Arial Narrow" w:cs="Times"/>
          <w:color w:val="auto"/>
          <w:sz w:val="18"/>
          <w:szCs w:val="18"/>
          <w:lang w:val="es-ES"/>
        </w:rPr>
        <w:t xml:space="preserve"> </w:t>
      </w:r>
      <w:r w:rsidR="0004171C" w:rsidRPr="0004171C">
        <w:rPr>
          <w:rFonts w:ascii="Arial Narrow" w:hAnsi="Arial Narrow" w:cs="Calibri"/>
          <w:color w:val="1C1A1A"/>
          <w:sz w:val="18"/>
          <w:szCs w:val="18"/>
          <w:lang w:val="es-ES"/>
        </w:rPr>
        <w:t>glyphosate in May 2016. That assessment could then be used by the Codex Alimentarius Commission to set a new Maximum Residue Level for glyphosate. The European Commission TTIP SPS proposal requires adoption of all Codex MRLs “without undue delay” once the TTIP enters into force, unless a Party files a reservation indicating that it will not enforce a specific MRL (Article 7.7).</w:t>
      </w:r>
    </w:p>
    <w:p w14:paraId="2C8BBC36" w14:textId="12C649B1"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26</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Kaare M Nielsen, “Biosafety Data as Confidential Business Information,” </w:t>
      </w:r>
      <w:r w:rsidR="0004171C" w:rsidRPr="0004171C">
        <w:rPr>
          <w:rFonts w:ascii="Arial Narrow" w:hAnsi="Arial Narrow" w:cs="Times"/>
          <w:color w:val="auto"/>
          <w:sz w:val="18"/>
          <w:szCs w:val="18"/>
          <w:lang w:val="es-ES"/>
        </w:rPr>
        <w:t xml:space="preserve">PLOS Biology </w:t>
      </w:r>
      <w:r w:rsidR="0004171C" w:rsidRPr="0004171C">
        <w:rPr>
          <w:rFonts w:ascii="Arial Narrow" w:hAnsi="Arial Narrow" w:cs="Calibri"/>
          <w:color w:val="auto"/>
          <w:sz w:val="18"/>
          <w:szCs w:val="18"/>
          <w:lang w:val="es-ES"/>
        </w:rPr>
        <w:t xml:space="preserve">11(3) (March 2013), 1. </w:t>
      </w:r>
      <w:r w:rsidR="0004171C" w:rsidRPr="0004171C">
        <w:rPr>
          <w:rFonts w:ascii="Arial Narrow" w:hAnsi="Arial Narrow" w:cs="Calibri"/>
          <w:color w:val="1754B0"/>
          <w:sz w:val="18"/>
          <w:szCs w:val="18"/>
          <w:lang w:val="es-ES"/>
        </w:rPr>
        <w:t>http://journals.plos.org/plosbiology/article?id=10.1371/journal.pbio.1001499 </w:t>
      </w:r>
    </w:p>
    <w:p w14:paraId="07C0343E" w14:textId="4C0B79E2" w:rsidR="0004171C" w:rsidRPr="0004171C" w:rsidRDefault="006C691E" w:rsidP="0004171C">
      <w:pPr>
        <w:widowControl w:val="0"/>
        <w:autoSpaceDE w:val="0"/>
        <w:autoSpaceDN w:val="0"/>
        <w:adjustRightInd w:val="0"/>
        <w:rPr>
          <w:rFonts w:ascii="Arial Narrow" w:hAnsi="Arial Narrow" w:cs="Times"/>
          <w:color w:val="auto"/>
          <w:sz w:val="18"/>
          <w:szCs w:val="18"/>
          <w:lang w:val="es-ES"/>
        </w:rPr>
      </w:pPr>
      <w:r>
        <w:rPr>
          <w:rFonts w:ascii="Arial Narrow" w:hAnsi="Arial Narrow" w:cs="Calibri"/>
          <w:color w:val="auto"/>
          <w:position w:val="12"/>
          <w:sz w:val="18"/>
          <w:szCs w:val="18"/>
          <w:lang w:val="es-ES"/>
        </w:rPr>
        <w:t>27</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Part of the “Lisbon Treaty” signed in 2009. This is a very important development, the recognition of animal sentience in the EU Treaty, we believe this will serve as a basis for future reform. Article 13 in TFEU says: “In </w:t>
      </w:r>
      <w:r w:rsidR="0004171C" w:rsidRPr="0004171C">
        <w:rPr>
          <w:rFonts w:ascii="Arial Narrow" w:hAnsi="Arial Narrow" w:cs="Times"/>
          <w:color w:val="auto"/>
          <w:sz w:val="18"/>
          <w:szCs w:val="18"/>
          <w:lang w:val="es-ES"/>
        </w:rPr>
        <w:t xml:space="preserve">formulating and implementing the Union's agriculture, fisheries, transport, internal market, research and technological development and space policies, the Union and the Member States shall, since animals are sentient beings, pay full regard to the welfare requirements of animals, while respecting the legislative or administrative provisions and customs of the Member States relating in particular to religious rites, cultural traditions and regional heritage.” </w:t>
      </w:r>
      <w:r w:rsidR="0004171C" w:rsidRPr="0004171C">
        <w:rPr>
          <w:rFonts w:ascii="Arial Narrow" w:hAnsi="Arial Narrow" w:cs="Calibri"/>
          <w:color w:val="auto"/>
          <w:sz w:val="18"/>
          <w:szCs w:val="18"/>
          <w:lang w:val="es-ES"/>
        </w:rPr>
        <w:t>Trade is not mentioned as one of the categories, however agriculture and fisheries are mentioned, transport too, and they are all related to trade.</w:t>
      </w:r>
    </w:p>
    <w:p w14:paraId="73A0F314" w14:textId="160A437C" w:rsid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28</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1754B0"/>
          <w:sz w:val="18"/>
          <w:szCs w:val="18"/>
          <w:lang w:val="es-ES"/>
        </w:rPr>
        <w:t>https://awic.nal.usda.gov/government-and-professional-resources/state-and-local-laws </w:t>
      </w:r>
    </w:p>
    <w:p w14:paraId="009A4E31" w14:textId="5B5B57B1" w:rsidR="0004171C" w:rsidRPr="00964160" w:rsidRDefault="006C691E" w:rsidP="0004171C">
      <w:pPr>
        <w:widowControl w:val="0"/>
        <w:autoSpaceDE w:val="0"/>
        <w:autoSpaceDN w:val="0"/>
        <w:adjustRightInd w:val="0"/>
        <w:rPr>
          <w:rFonts w:ascii="Arial Narrow" w:hAnsi="Arial Narrow" w:cs="Calibri"/>
          <w:color w:val="1754B0"/>
          <w:sz w:val="18"/>
          <w:szCs w:val="18"/>
          <w:lang w:val="es-ES"/>
        </w:rPr>
      </w:pPr>
      <w:r>
        <w:rPr>
          <w:rFonts w:ascii="Arial Narrow" w:hAnsi="Arial Narrow" w:cs="Calibri"/>
          <w:color w:val="auto"/>
          <w:position w:val="12"/>
          <w:sz w:val="18"/>
          <w:szCs w:val="18"/>
          <w:lang w:val="es-ES"/>
        </w:rPr>
        <w:t>29</w:t>
      </w:r>
      <w:r w:rsidR="0004171C" w:rsidRPr="0004171C">
        <w:rPr>
          <w:rFonts w:ascii="Arial Narrow" w:hAnsi="Arial Narrow" w:cs="Calibri"/>
          <w:color w:val="auto"/>
          <w:position w:val="12"/>
          <w:sz w:val="18"/>
          <w:szCs w:val="18"/>
          <w:lang w:val="es-ES"/>
        </w:rPr>
        <w:t xml:space="preserve"> </w:t>
      </w:r>
      <w:r w:rsidR="0004171C" w:rsidRPr="0004171C">
        <w:rPr>
          <w:rFonts w:ascii="Arial Narrow" w:hAnsi="Arial Narrow" w:cs="Calibri"/>
          <w:color w:val="auto"/>
          <w:sz w:val="18"/>
          <w:szCs w:val="18"/>
          <w:lang w:val="es-ES"/>
        </w:rPr>
        <w:t xml:space="preserve">Animal Welfare Institute, 2014, Consumer Perceptions of Animal Welfare, Washington, </w:t>
      </w:r>
      <w:r w:rsidR="0004171C" w:rsidRPr="0004171C">
        <w:rPr>
          <w:rFonts w:ascii="Arial Narrow" w:hAnsi="Arial Narrow" w:cs="Calibri"/>
          <w:color w:val="1754B0"/>
          <w:sz w:val="18"/>
          <w:szCs w:val="18"/>
          <w:lang w:val="es-ES"/>
        </w:rPr>
        <w:t>https://awionline.org/sites/default/files/uploads/documents/fa-</w:t>
      </w:r>
      <w:r w:rsidR="0004171C" w:rsidRPr="00964160">
        <w:rPr>
          <w:rFonts w:ascii="Arial Narrow" w:hAnsi="Arial Narrow" w:cs="Calibri"/>
          <w:color w:val="1754B0"/>
          <w:sz w:val="18"/>
          <w:szCs w:val="18"/>
          <w:lang w:val="es-ES"/>
        </w:rPr>
        <w:t>consumer_perceptionsoffarmwelfare_-112511.pdf</w:t>
      </w:r>
    </w:p>
    <w:p w14:paraId="3AB64E18" w14:textId="77777777" w:rsidR="0004171C" w:rsidRDefault="0004171C"/>
    <w:p w14:paraId="7EDED392" w14:textId="77777777" w:rsidR="00105A97" w:rsidRDefault="00105A97"/>
    <w:p w14:paraId="45678013" w14:textId="77777777" w:rsidR="00105A97" w:rsidRDefault="00105A97"/>
    <w:p w14:paraId="2EA93271" w14:textId="77777777" w:rsidR="00105A97" w:rsidRDefault="00105A97"/>
    <w:sectPr w:rsidR="00105A97" w:rsidSect="001A1124">
      <w:footerReference w:type="even"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15A24" w14:textId="77777777" w:rsidR="00BF3643" w:rsidRDefault="00BF3643" w:rsidP="0004171C">
      <w:r>
        <w:separator/>
      </w:r>
    </w:p>
  </w:endnote>
  <w:endnote w:type="continuationSeparator" w:id="0">
    <w:p w14:paraId="7E670C70" w14:textId="77777777" w:rsidR="00BF3643" w:rsidRDefault="00BF3643" w:rsidP="0004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F4E9" w14:textId="77777777" w:rsidR="0004171C" w:rsidRDefault="0004171C" w:rsidP="005E5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9761F" w14:textId="77777777" w:rsidR="0004171C" w:rsidRDefault="0004171C" w:rsidP="00041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6A55" w14:textId="2C3CC3C6" w:rsidR="0004171C" w:rsidRDefault="0004171C" w:rsidP="005E5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BEB">
      <w:rPr>
        <w:rStyle w:val="PageNumber"/>
        <w:noProof/>
      </w:rPr>
      <w:t>1</w:t>
    </w:r>
    <w:r>
      <w:rPr>
        <w:rStyle w:val="PageNumber"/>
      </w:rPr>
      <w:fldChar w:fldCharType="end"/>
    </w:r>
  </w:p>
  <w:p w14:paraId="17622AEE" w14:textId="77777777" w:rsidR="0004171C" w:rsidRDefault="0004171C" w:rsidP="000417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F1E37" w14:textId="77777777" w:rsidR="00BF3643" w:rsidRDefault="00BF3643" w:rsidP="0004171C">
      <w:r>
        <w:separator/>
      </w:r>
    </w:p>
  </w:footnote>
  <w:footnote w:type="continuationSeparator" w:id="0">
    <w:p w14:paraId="59D17873" w14:textId="77777777" w:rsidR="00BF3643" w:rsidRDefault="00BF3643" w:rsidP="00041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97"/>
    <w:rsid w:val="00007084"/>
    <w:rsid w:val="0004171C"/>
    <w:rsid w:val="000D6D2B"/>
    <w:rsid w:val="00105A97"/>
    <w:rsid w:val="00115648"/>
    <w:rsid w:val="001A1124"/>
    <w:rsid w:val="0023551C"/>
    <w:rsid w:val="00334EF2"/>
    <w:rsid w:val="003F0E25"/>
    <w:rsid w:val="0045737B"/>
    <w:rsid w:val="004810EC"/>
    <w:rsid w:val="006C691E"/>
    <w:rsid w:val="0079341E"/>
    <w:rsid w:val="00814A23"/>
    <w:rsid w:val="008B15BB"/>
    <w:rsid w:val="00964160"/>
    <w:rsid w:val="009955BC"/>
    <w:rsid w:val="00A1391F"/>
    <w:rsid w:val="00A45E77"/>
    <w:rsid w:val="00BF3643"/>
    <w:rsid w:val="00BF4F6F"/>
    <w:rsid w:val="00FA6BE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8F396"/>
  <w14:defaultImageDpi w14:val="300"/>
  <w15:docId w15:val="{DA771CAC-B0B8-4259-85FE-A7ED8BC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171C"/>
    <w:pPr>
      <w:tabs>
        <w:tab w:val="center" w:pos="4252"/>
        <w:tab w:val="right" w:pos="8504"/>
      </w:tabs>
    </w:pPr>
  </w:style>
  <w:style w:type="character" w:customStyle="1" w:styleId="FooterChar">
    <w:name w:val="Footer Char"/>
    <w:basedOn w:val="DefaultParagraphFont"/>
    <w:link w:val="Footer"/>
    <w:uiPriority w:val="99"/>
    <w:rsid w:val="0004171C"/>
  </w:style>
  <w:style w:type="character" w:styleId="PageNumber">
    <w:name w:val="page number"/>
    <w:basedOn w:val="DefaultParagraphFont"/>
    <w:uiPriority w:val="99"/>
    <w:semiHidden/>
    <w:unhideWhenUsed/>
    <w:rsid w:val="0004171C"/>
  </w:style>
  <w:style w:type="paragraph" w:styleId="BalloonText">
    <w:name w:val="Balloon Text"/>
    <w:basedOn w:val="Normal"/>
    <w:link w:val="BalloonTextChar"/>
    <w:uiPriority w:val="99"/>
    <w:semiHidden/>
    <w:unhideWhenUsed/>
    <w:rsid w:val="000417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71C"/>
    <w:rPr>
      <w:rFonts w:ascii="Lucida Grande" w:hAnsi="Lucida Grande" w:cs="Lucida Grande"/>
      <w:sz w:val="18"/>
      <w:szCs w:val="18"/>
    </w:rPr>
  </w:style>
  <w:style w:type="character" w:styleId="Hyperlink">
    <w:name w:val="Hyperlink"/>
    <w:basedOn w:val="DefaultParagraphFont"/>
    <w:uiPriority w:val="99"/>
    <w:unhideWhenUsed/>
    <w:rsid w:val="009641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a.europa.eu/sites/default/files/EFSA_response_Prof_Portier.pdf" TargetMode="External"/><Relationship Id="rId3" Type="http://schemas.openxmlformats.org/officeDocument/2006/relationships/webSettings" Target="webSettings.xml"/><Relationship Id="rId7" Type="http://schemas.openxmlformats.org/officeDocument/2006/relationships/hyperlink" Target="http://www.iatp.org/files/2014_09_02_TTIP_SPS_Analysi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Villamar Calderon</dc:creator>
  <cp:keywords/>
  <dc:description/>
  <cp:lastModifiedBy>Alexandra Graziano</cp:lastModifiedBy>
  <cp:revision>10</cp:revision>
  <dcterms:created xsi:type="dcterms:W3CDTF">2017-12-08T14:31:00Z</dcterms:created>
  <dcterms:modified xsi:type="dcterms:W3CDTF">2018-02-09T11:08:00Z</dcterms:modified>
</cp:coreProperties>
</file>